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001-36397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Weibo Corporation</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8/F, QIHAO Plaza, No. 8 Xinyuan S.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Chaoyang District, Beijing 100027</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703580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35" w:right="1440"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Exhibit 99.1 Press Release – Weibo Announces Fourth Quarter and Fiscal Year 2025 Unaudited Financial Results and Annual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WEIBO CORPORATION</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18, 2026</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Fei Cao</w:t>
            </w:r>
          </w:p>
        </w:tc>
      </w:tr>
      <w:tr>
        <w:trPr>
          <w:trHeight w:val="191"/>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Fei Cao</w:t>
            </w:r>
          </w:p>
        </w:tc>
      </w:tr>
      <w:tr>
        <w:trPr>
          <w:trHeight w:val="234"/>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Weibo Announces Fourth Quarter and Fiscal Year 2025 Unaudited Financial Results and Annual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BEIJING, China – March 18, 2026 – Weibo Corporation (“Weibo” or the “Company”) (Nasdaq: WB and HKEX: 9898), a leading social media in China, today announced its unaudited financial results for the fourth quarter and fiscal year ended December 31, 2025 and annual dividend.</w:t>
      </w:r>
    </w:p>
    <w:p>
      <w:pPr>
        <w:spacing w:after="0" w:line="16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ended the year 2025 with solid performance in the fourth quarter,” said Gaofei Wang, CEO of Weibo. “On the user front, we focused on enhancing user value through reinforcing our social features and optimizing recommendation content ecosystem to improve content consumption. On the AI technology front, we continued to see robust growth of the user scale and search queries of our intelligent search function throughout this year, which further enhanced users’ content consumption efficiency and drove more coherent and in-depth search demands on the platform. On the monetization front, our advertising business exhibited stabilized trend in 2025, driven by strong performance of certain key industries. We continued to beef up our efforts in strengthening our position in content marketing and strengthening AI capability to improve advertising efficiency. As our commitment to enhancing shareholder return, we are pleased to announce that our board of directors has approved an annual dividend payout of US$150 million to our shareholders for fiscal year 2025.”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Highlights</w:t>
      </w:r>
    </w:p>
    <w:p>
      <w:pPr>
        <w:spacing w:after="0" w:line="213"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Net revenues were US$473.3 million, an increase of 4% year-over-year or an increase of 1% year-over-year on a constant currency basis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36"/>
          <w:szCs w:val="36"/>
          <w:color w:val="auto"/>
          <w:vertAlign w:val="superscript"/>
        </w:rPr>
      </w:pPr>
    </w:p>
    <w:p>
      <w:pPr>
        <w:ind w:left="340" w:right="480" w:hanging="332"/>
        <w:spacing w:after="0" w:line="291"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Advertising and marketing revenues were US$403.8 million, an increase of 5% year-over-year or an increase of 2% year-over-year on a constant currency basis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30" w:lineRule="exact"/>
        <w:rPr>
          <w:rFonts w:ascii="Times New Roman" w:cs="Times New Roman" w:eastAsia="Times New Roman" w:hAnsi="Times New Roman"/>
          <w:sz w:val="18"/>
          <w:szCs w:val="18"/>
          <w:color w:val="auto"/>
        </w:rPr>
      </w:pPr>
    </w:p>
    <w:p>
      <w:pPr>
        <w:ind w:left="340" w:right="440" w:hanging="332"/>
        <w:spacing w:after="0" w:line="29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Value-added services (“VAS”) revenues were US$69.5 million, a decrease of 2% year-over-year or a decrease of 4% year-over-year on a constant currency basis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3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was US$91.6 million, representing an operating margin of 19%.</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attributable to Weibo’s shareholders was US$4.7 million and diluted net loss per share was US$0.02.</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income from operations was US$100.4 million, representing a non-GAAP operating margin of 21%.</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attributable to Weibo’s shareholders was US$66.4 million and non-GAAP diluted net income per share was US$0.25.</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active users (“MAUs”) were 567 million in December 2025.</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active users (“DAUs”) were 252 million in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86" w:lineRule="exact"/>
        <w:rPr>
          <w:sz w:val="20"/>
          <w:szCs w:val="20"/>
          <w:color w:val="auto"/>
        </w:rPr>
      </w:pPr>
    </w:p>
    <w:p>
      <w:pPr>
        <w:ind w:right="240" w:firstLine="8"/>
        <w:spacing w:after="0" w:line="218" w:lineRule="auto"/>
        <w:tabs>
          <w:tab w:leader="none" w:pos="220" w:val="left"/>
        </w:tabs>
        <w:numPr>
          <w:ilvl w:val="0"/>
          <w:numId w:val="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We define constant currency (non-GAAP) by assuming that the average exchange rate in the fourth quarter of 2025 had been the same as it was in the fourth quarter of 2024, or RMB7.17=US$1.00.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Fiscal Year 2025 Highlights</w:t>
      </w:r>
    </w:p>
    <w:p>
      <w:pPr>
        <w:spacing w:after="0" w:line="213"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Net revenues were US$1.76 billion, flat year-over-year and flat year-over-year on a constant currency basis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36"/>
          <w:szCs w:val="36"/>
          <w:color w:val="auto"/>
          <w:vertAlign w:val="superscript"/>
        </w:rPr>
      </w:pPr>
    </w:p>
    <w:p>
      <w:pPr>
        <w:ind w:left="340" w:hanging="332"/>
        <w:spacing w:after="0" w:line="229" w:lineRule="auto"/>
        <w:tabs>
          <w:tab w:leader="none" w:pos="34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Advertising and marketing revenues were US$1.50 billion, flat year-over-year and flat year-over-year on a constant currency basis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36"/>
          <w:szCs w:val="36"/>
          <w:color w:val="auto"/>
          <w:vertAlign w:val="superscript"/>
        </w:rPr>
      </w:pPr>
    </w:p>
    <w:p>
      <w:pPr>
        <w:ind w:left="340" w:hanging="332"/>
        <w:spacing w:after="0" w:line="229" w:lineRule="auto"/>
        <w:tabs>
          <w:tab w:leader="none" w:pos="34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Value-added services (“VAS”) revenues were US$255.6 million, flat year-over-year and flat year-over-year on a constant currency basis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36"/>
          <w:szCs w:val="36"/>
          <w:color w:val="auto"/>
          <w:vertAlign w:val="superscript"/>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was US$464.8 million, representing an operating margin of 26%.</w:t>
      </w:r>
    </w:p>
    <w:p>
      <w:pPr>
        <w:spacing w:after="0" w:line="22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Weibo’s shareholders was US$449.0 million and diluted net income per share was US$1.70.</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income from operations was US$523.6 million, representing a non-GAAP operating margin of 30%.</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attributable to Weibo’s shareholders was US$439.8 million and non-GAAP diluted net income per share was US$1.65.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Financial Results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fourth quarter of 2025, Weibo’s total net revenues were US$473.3million, an increase of 4% compared to US$456.8 million for the same period last year.</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Advertising and marketing revenues for the fourth quarter of 2025 were US$403.8 million, an increase of 5% compared to US$385.9 million for the same period last year. The increase was primarily driven by robust growth of advertising revenues from the ecommerce and local service sectors. Advertising and marketing revenues excluding advertising revenues from Alibaba were US$353.8 million, an increase of 2% compared to US$345.5 million for the same period last year.</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VAS revenues for the fourth quarter of 2025 were US$69.5 million, a decrease of 2% year-over-year compared to US$71.0 million for the same period last year.</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Costs and expenses for the fourth quarter of 2025 totaled US$381.7 million, an increase of 13% compared to US$338.9 million for the same period last year. The increase was mainly resulted from increased ad production cost and marketing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right="1320" w:firstLine="8"/>
        <w:spacing w:after="0" w:line="218" w:lineRule="auto"/>
        <w:tabs>
          <w:tab w:leader="none" w:pos="220"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We define constant currency (non-GAAP) by assuming that the average exchange rate of 2025 had been the same as it was in 2024, or RMB7.18=US$1.00.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 w:name="page6"/>
    <w:bookmarkEnd w:id="5"/>
    <w:p>
      <w:pPr>
        <w:spacing w:after="0" w:line="266" w:lineRule="auto"/>
        <w:rPr>
          <w:sz w:val="20"/>
          <w:szCs w:val="20"/>
          <w:color w:val="auto"/>
        </w:rPr>
      </w:pPr>
      <w:r>
        <w:rPr>
          <w:rFonts w:ascii="Times New Roman" w:cs="Times New Roman" w:eastAsia="Times New Roman" w:hAnsi="Times New Roman"/>
          <w:sz w:val="18"/>
          <w:szCs w:val="18"/>
          <w:color w:val="auto"/>
        </w:rPr>
        <w:t>Income from operations for the fourth quarter of 2025 was US$91.6 million, compared to US$117.9 million for the same period last year. Operating margin was 19%, compared to 26% last year. Non-GAAP income from operations was US$100.4 million, compared to US$136.2 million for the same period last year. Non-GAAP operating margin was 21%, compared to 30% last year.</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Non-operating loss for the fourth quarter of 2025 was US$57.6 million, compared to non-operating loss of US$85.1 million for the same period last year. Non-operating loss for the fourth quarter of 2025 mainly included (i) net interest and other loss of US$28.4 million; and (ii) loss from fair value change of investments of US$28.1 million, which was excluded under non-GAAP measures.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expenses for the fourth quarter of 2025 were US$31.3 million, compared to US$20.0 million for the same period last year. The increase of tax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was primarily due to increased withholding tax accrued related to all of the Company’s wholly-foreign owned enterprises’ ("WFOE") earnings,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 remitted to Weibo Hong Kong Limited in the foreseeable future to fund its demand for U.S. dollars in business operations and potential investments, etc.</w:t>
      </w:r>
    </w:p>
    <w:p>
      <w:pPr>
        <w:spacing w:after="0" w:line="21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Net loss attributable to Weibo’s shareholders for the fourth quarter of 2025 was US$4.7 million, compared to net income of US$8.9 million for the same period last year. Diluted net loss per share attributable to Weibo’s shareholders for the fourth quarter of 2025 was US$0.02, compared to diluted net income per share attributable to Weibo’s shareholders of US$0.04 for the same period last year. Non-GAAP net income attributable to Weibo’s shareholders for the fourth quarter of 2025 was US$66.4 million, compared to US$106.6 million for the same period last year. Non-GAAP diluted net income per share attributable to Weibo’s shareholders for the fourth quarter of 2025 was US$0.25, compared to US$0.40 for the same period last year.</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December 31, 2025, Weibo’s cash, cash equivalents and short-term investments totaled US$2.4 billion. For the fourth quarter of 2025, cash provided by operating activities was US$181.4 million, capital expenditures totaled US$10.4 million, and depreciation and amortization expenses amounted to US$15.3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2025 Financial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year 2025, Weibo’s total net revenues were US$1.76 billion, relatively flat compared to US$1.75 billion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 w:name="page7"/>
    <w:bookmarkEnd w:id="6"/>
    <w:p>
      <w:pPr>
        <w:ind w:right="540"/>
        <w:spacing w:after="0" w:line="282" w:lineRule="auto"/>
        <w:rPr>
          <w:sz w:val="20"/>
          <w:szCs w:val="20"/>
          <w:color w:val="auto"/>
        </w:rPr>
      </w:pPr>
      <w:r>
        <w:rPr>
          <w:rFonts w:ascii="Times New Roman" w:cs="Times New Roman" w:eastAsia="Times New Roman" w:hAnsi="Times New Roman"/>
          <w:sz w:val="18"/>
          <w:szCs w:val="18"/>
          <w:color w:val="auto"/>
        </w:rPr>
        <w:t>Advertising and marketing revenues for 2025 were US$1.50 billion, relatively flat compared to US$1.50 billion in 2024. Advertising and marketing revenues excluding advertising revenues from Alibaba were US$1.33 billion, a decrease of 4% compared to US$1.38 billion for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VAS revenues for 2025 were US$255.6 million, relatively flat compared to US$256.0 million for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and expenses for 2025 totaled US$1.29 billion, an increase of 3% compared to US$1.26 billion for 2024.</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Income from operations for 2025 was US$464.8 million, compared to US$494.3 million for 2024. Operating margin for 2025 was 26%, compared to 28% last year. Non-GAAP income from operations was US$523.6 million, compared to US$584.1 million for 2024. Non-GAAP operating margin was 30%, compared to 33% last year.</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Non-operating income for 2025 was US$140.8 million, compared to non-operating loss of US$73.7 million for 2024. Non-operating income in 2025 mainly included (i) net interest and other income of US$125.0 million, compared to US$0.9 million last year, with the increase mainly due to the equity pick up gain of US$76.7 million in 2025, compared to equity pick up loss of US$12.2 million in 2024; (ii) gain from fair value change of investments of US$21.3 million, which was excluded under non-GAAP measures; and (iii) investment related impairment of US$6.0 million, which was excluded under non-GAAP measures.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expenses for 2025 were US$144.5 million, compared to US$110.6 million for 2024. The increase was primarily due to i) increased withholding tax accrued related to all of the Company’s WFOEs’earnings, to be remitted to Weibo Hong Kong Limited in the foreseeable future to fund its demand for U.S. dollars in business operations and potential investments, etc.; and ii) the recognition of deferred tax liability related to equity pick up gains in 2025.</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Net income attributable to Weibo’s shareholders for 2025 was US$449.0 million, compared to US$300.8 million for 2024. Diluted net income per share attributable to Weibo’s shareholders for 2025 was US$1.70, compared to US$1.16 for 2024. Non-GAAP net income attributable to Weibo’s shareholders for 2025 was US$439.8 million, compared to US$478.6 million for 2024. Non-GAAP diluted net income per share attributable to Weibo’s shareholders for 2025 was US$1.65, compared to US$1.82 for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 w:name="page8"/>
    <w:bookmarkEnd w:id="7"/>
    <w:p>
      <w:pPr>
        <w:ind w:right="260"/>
        <w:spacing w:after="0" w:line="282" w:lineRule="auto"/>
        <w:rPr>
          <w:sz w:val="20"/>
          <w:szCs w:val="20"/>
          <w:color w:val="auto"/>
        </w:rPr>
      </w:pPr>
      <w:r>
        <w:rPr>
          <w:rFonts w:ascii="Times New Roman" w:cs="Times New Roman" w:eastAsia="Times New Roman" w:hAnsi="Times New Roman"/>
          <w:sz w:val="18"/>
          <w:szCs w:val="18"/>
          <w:color w:val="auto"/>
        </w:rPr>
        <w:t>For fiscal year 2025, cash provided by operating activities was US$519.5 million, compared to US$639.9 million for 2024. Capital expenditures totaled US$42.4 million, and depreciation and amortization expenses amounted to US$59.1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Cash Dividend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announced that its board of directors (the “Board”) approved an annual cash dividend for the year ended December 31, 2025 of US$0.61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 or US$0.61 per ADS, to holders of ordinary shares and holders of ADSs, respectively, as of the close of business on April 17,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Beijing/Hong Kong Time and New York Time, respectively, payable in U.S. dollars. The aggregate amount of cash dividends to be paid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US$150 million. For holders of Class A ordinary shares, in order to qualify for the dividend, all valid documents for the transfer of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accompanied by the relevant share certificates must be lodged for registration with the Company's Hong Kong branch share registrar, Computershare Hong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Kong Investor Services Limited, at Shops 1712-1716, 17th Floor, Hopewell Centre, 183 Queen's Road East, Wanchai, Hong Kong, no later than 4:30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p.m. on April 17, 2026 (Beijing/Hong Kong Time). The payment date is expected to be on or around May 15, 2026 for holders of ordinary shares and on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around May 22, 2026 for holders of ADSs.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Weibo’s management team will host a conference call from 7:00 AM to 8:00 AM Eastern Time on March 18, 2026 (or 7:00 PM to 8:00 PM Beijing Time on March 18, 2026) to present an overview of the Company's financial performance and business operations.</w:t>
      </w:r>
    </w:p>
    <w:p>
      <w:pPr>
        <w:spacing w:after="0" w:line="16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Participants who wish to dial in to the teleconference must register through the below public participant link. Dial in and instruction will be in the confirmation email upon registering.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Participants Registration Link: </w:t>
      </w:r>
      <w:r>
        <w:rPr>
          <w:rFonts w:ascii="Times New Roman" w:cs="Times New Roman" w:eastAsia="Times New Roman" w:hAnsi="Times New Roman"/>
          <w:sz w:val="18"/>
          <w:szCs w:val="18"/>
          <w:u w:val="single" w:color="auto"/>
          <w:color w:val="auto"/>
          <w:highlight w:val="white"/>
        </w:rPr>
        <w:t>https://register-conf.media-server.com/register/BI9a9688ac375946edb8d4042347b0d850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-7620</wp:posOffset>
            </wp:positionV>
            <wp:extent cx="285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a live and archived webcast of this conference call will be available at http://ir.weibo.com.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right="220"/>
        <w:spacing w:after="0" w:line="289" w:lineRule="auto"/>
        <w:rPr>
          <w:sz w:val="20"/>
          <w:szCs w:val="20"/>
          <w:color w:val="auto"/>
        </w:rPr>
      </w:pPr>
      <w:r>
        <w:rPr>
          <w:rFonts w:ascii="Times New Roman" w:cs="Times New Roman" w:eastAsia="Times New Roman" w:hAnsi="Times New Roman"/>
          <w:sz w:val="17"/>
          <w:szCs w:val="17"/>
          <w:color w:val="auto"/>
        </w:rPr>
        <w:t>This release contains the following non-GAAP financial measures: non-GAAP income from operations, non-GAAP net income attributable to Weibo’s shareholders, non-GAAP diluted net income per share attributable to Weibo’s shareholders and adjusted EBITDA. These non-GAAP financial measures should be considered in addition to, not as a substitute for, measures of the Company’s financial performance 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8" w:name="page9"/>
    <w:bookmarkEnd w:id="8"/>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Company’s non-GAAP financial measures exclude stock-based compensation, amortization of intangible assets resulting from business acquisitions, net results of impairment and provision on investments, gain/loss on sale of investments and fair value change of investments, non-GAAP to GAAP reconciling items on the share of equity method investments, non-GAAP to GAAP reconciling items for the income/loss attributable to non-controlling interests, income tax expense related to the amortization of intangible assets resulting from business acquisitions and fair value change of investments (other non-GAAP to GAAP reconciling items have no tax effect), and amortization of issuance cost of convertible senior notes, unsecured senior notes and long-term loans. Adjusted EBITDA represents non-GAAP net income attributable to Weibo’s shareholders before interest income/expense, net, income tax expenses/benefits, and depreciation expenses.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management uses these non-GAAP financial measures in their financial and operating decision-making, because management believes these measures reflect the Company’s ongoing operating performance in a manner that allows more meaningful period-to-period comparisons. The Company believes that these non-GAAP financial measures provide useful information to investors and others in the following ways: (i) in comparing the Company’s current financial results with the Company’s past financial results in a consistent manner, and (ii) in understanding and evaluating the Company’s current operating performance and future prospects in the same manner as management does. The Company also believes that the non-GAAP financial measures provide useful information to both management and investors by excluding certain expenses, gains/losses and other items (i) that are not expected to result in future cash payments or (ii) that are non-recurring in nature or may not be indicative of the Company’s core operating results and business outlook.</w:t>
      </w:r>
    </w:p>
    <w:p>
      <w:pPr>
        <w:spacing w:after="0" w:line="1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Use of non-GAAP financial measures has limitations. The Company’s non-GAAP financial measures do not include all income and expense items that affect the Company’s operations. They may not be comparable to non-GAAP financial measures used by other companies. Accordingly, care should be exercised in understanding how the Company defines its non-GAAP financial measures. Reconciliations of the Company’s non-GAAP financial measures to the nearest comparable GAAP measures are set forth in the section below titled “Unaudited Reconciliation of Non-GAAP to GAAP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About Weibo</w:t>
      </w:r>
    </w:p>
    <w:p>
      <w:pPr>
        <w:spacing w:after="0" w:line="22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Weibo is a leading social media for people to create, share and discover content online. Weibo combines the means of public self-expression in real time with a powerful platform for social interaction, content aggregation and content distribution. Any user can create and post a feed and attach multi-media and long-form content. User relationships on Weibo may be asymmetric; any user can follow any other user and add comments to a feed while reposting. This simple, asymmetric and distributed nature of Weibo allows an original feed to become a live viral conversation stream.</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Weibo enables its advertising and marketing customers to promote their brands, products and services to users. Weibo offers a wide range of advertising and marketing solutions to companies of all sizes. Weibo generates a substantial majority of its revenues from the sale of advertising and marketing services, including the sale of social display advertisement and promoted marketing offerings. Weibo displays content in a simple information feed format and offers native advertisement that conform to the information feed on our platform. We are continuously refining our social interest graph recommendation engine, which enables our customers to perform people marketing and target audiences based on user demographics, social relationships, interests and behaviors, to achieve greater relevance, engagement and marketing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“confidence,” “estimates” and similar statements. Among other things, Weibo’s expected financial performance and strategic and operational plans, as described, without limitation, in quotations from management in this press release, contain forward-looking statements. Weibo may also make written or oral forward-looking statements in the Company’s periodic reports to the U.S. Securities and Exchange Commission (“SEC”), in announcements, circulars or other publications made on the website of The Stock Exchange of Hong Kong Limited (the “Hong Kong Stock Exchange”),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 number of important factors could cause actual results to differ materially from those contained in any forward-looking statement. Potential risks and uncertainties include, but are not limited to, Weibo’s limited operating history in certain new businesses; failure to sustain or grow active user base and the level of user engagement; the uncertain regulatory landscape in China; fluctuations in the Company’s quarterly operating results; the Company’s reliance on advertising and marketing sales for a majority of its revenues; failure to successfully develop, introduce, drive adoption of or monetize new features and products; failure to compete effectively for advertising and marketing spending; failure to successfully integrate acquired businesses; risks associated with the Company’s investments, including equity pick-up and impairment; failure to compete successfully against new entrants and established industry competitors; changes in the macro-economic environment, including the depreciation of the Renminbi; and adverse changes in economic and political policies of the PRC government and its impact on the Chinese economy. Further information regarding these and other risks is included in Weibo’s annual reports on Form 20-F and other filings with the SEC and the Hong Kong Stock Exchange. All information provided in this press release is current as of the date hereof, and Weibo assumes no obligation to update such information, except as required under applicable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Weibo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+86 10 5898-3336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ir@staff.weibo.com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WEIBO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6"/>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0"/>
                <w:szCs w:val="20"/>
                <w:color w:val="auto"/>
              </w:rPr>
            </w:pPr>
          </w:p>
        </w:tc>
        <w:tc>
          <w:tcPr>
            <w:tcW w:w="270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01"/>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right"/>
              <w:ind w:right="161"/>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141"/>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0"/>
              <w:spacing w:after="0" w:line="201" w:lineRule="exact"/>
              <w:rPr>
                <w:sz w:val="20"/>
                <w:szCs w:val="20"/>
                <w:color w:val="auto"/>
              </w:rPr>
            </w:pPr>
            <w:r>
              <w:rPr>
                <w:rFonts w:ascii="Times New Roman" w:cs="Times New Roman" w:eastAsia="Times New Roman" w:hAnsi="Times New Roman"/>
                <w:sz w:val="18"/>
                <w:szCs w:val="18"/>
                <w:b w:val="1"/>
                <w:bCs w:val="1"/>
                <w:color w:val="auto"/>
                <w:w w:val="97"/>
              </w:rPr>
              <w:t>December 31,</w:t>
            </w:r>
          </w:p>
        </w:tc>
        <w:tc>
          <w:tcPr>
            <w:tcW w:w="100" w:type="dxa"/>
            <w:vAlign w:val="bottom"/>
          </w:tcPr>
          <w:p>
            <w:pPr>
              <w:spacing w:after="0"/>
              <w:rPr>
                <w:sz w:val="17"/>
                <w:szCs w:val="17"/>
                <w:color w:val="auto"/>
              </w:rPr>
            </w:pPr>
          </w:p>
        </w:tc>
      </w:tr>
      <w:tr>
        <w:trPr>
          <w:trHeight w:val="238"/>
        </w:trPr>
        <w:tc>
          <w:tcPr>
            <w:tcW w:w="54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1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Advertising and marketing</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385,850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403,799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1,498,693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1,501,630</w:t>
            </w:r>
          </w:p>
        </w:tc>
      </w:tr>
      <w:tr>
        <w:trPr>
          <w:trHeight w:val="229"/>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Value-added services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70,977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69,459</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255,984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255,586</w:t>
            </w:r>
          </w:p>
        </w:tc>
      </w:tr>
      <w:tr>
        <w:trPr>
          <w:trHeight w:val="209"/>
        </w:trPr>
        <w:tc>
          <w:tcPr>
            <w:tcW w:w="5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456,827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473,258</w:t>
            </w:r>
          </w:p>
        </w:tc>
        <w:tc>
          <w:tcPr>
            <w:tcW w:w="2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1,754,677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1,757,216</w:t>
            </w:r>
          </w:p>
        </w:tc>
        <w:tc>
          <w:tcPr>
            <w:tcW w:w="100" w:type="dxa"/>
            <w:vAlign w:val="bottom"/>
            <w:tcBorders>
              <w:bottom w:val="single" w:sz="8" w:color="CCEEFF"/>
            </w:tcBorders>
          </w:tcPr>
          <w:p>
            <w:pPr>
              <w:spacing w:after="0"/>
              <w:rPr>
                <w:sz w:val="18"/>
                <w:szCs w:val="18"/>
                <w:color w:val="auto"/>
              </w:rPr>
            </w:pPr>
          </w:p>
        </w:tc>
      </w:tr>
      <w:tr>
        <w:trPr>
          <w:trHeight w:val="210"/>
        </w:trPr>
        <w:tc>
          <w:tcPr>
            <w:tcW w:w="5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44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29"/>
                <w:szCs w:val="29"/>
                <w:b w:val="1"/>
                <w:bCs w:val="1"/>
                <w:color w:val="auto"/>
                <w:vertAlign w:val="superscript"/>
              </w:rPr>
              <w:t>(1)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100,529</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123,396</w:t>
            </w:r>
          </w:p>
        </w:tc>
        <w:tc>
          <w:tcPr>
            <w:tcW w:w="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369,521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421,837</w:t>
            </w:r>
          </w:p>
        </w:tc>
      </w:tr>
      <w:tr>
        <w:trPr>
          <w:trHeight w:val="257"/>
        </w:trPr>
        <w:tc>
          <w:tcPr>
            <w:tcW w:w="544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Sales and marketing </w:t>
            </w:r>
            <w:r>
              <w:rPr>
                <w:rFonts w:ascii="Times New Roman" w:cs="Times New Roman" w:eastAsia="Times New Roman" w:hAnsi="Times New Roman"/>
                <w:sz w:val="29"/>
                <w:szCs w:val="29"/>
                <w:b w:val="1"/>
                <w:bCs w:val="1"/>
                <w:color w:val="auto"/>
                <w:vertAlign w:val="superscript"/>
              </w:rPr>
              <w:t>(1)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139,863</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153,478</w:t>
            </w:r>
          </w:p>
        </w:tc>
        <w:tc>
          <w:tcPr>
            <w:tcW w:w="80" w:type="dxa"/>
            <w:vAlign w:val="bottom"/>
          </w:tcPr>
          <w:p>
            <w:pPr>
              <w:spacing w:after="0"/>
              <w:rPr>
                <w:sz w:val="22"/>
                <w:szCs w:val="22"/>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480,791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490,434</w:t>
            </w:r>
          </w:p>
        </w:tc>
      </w:tr>
      <w:tr>
        <w:trPr>
          <w:trHeight w:val="256"/>
        </w:trPr>
        <w:tc>
          <w:tcPr>
            <w:tcW w:w="544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Product development </w:t>
            </w:r>
            <w:r>
              <w:rPr>
                <w:rFonts w:ascii="Times New Roman" w:cs="Times New Roman" w:eastAsia="Times New Roman" w:hAnsi="Times New Roman"/>
                <w:sz w:val="29"/>
                <w:szCs w:val="29"/>
                <w:b w:val="1"/>
                <w:bCs w:val="1"/>
                <w:color w:val="auto"/>
                <w:vertAlign w:val="superscript"/>
              </w:rPr>
              <w:t>(1)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75,921</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92,224</w:t>
            </w:r>
          </w:p>
        </w:tc>
        <w:tc>
          <w:tcPr>
            <w:tcW w:w="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308,747</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324,222</w:t>
            </w:r>
          </w:p>
        </w:tc>
      </w:tr>
      <w:tr>
        <w:trPr>
          <w:trHeight w:val="270"/>
        </w:trPr>
        <w:tc>
          <w:tcPr>
            <w:tcW w:w="544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General and administrative </w:t>
            </w:r>
            <w:r>
              <w:rPr>
                <w:rFonts w:ascii="Times New Roman" w:cs="Times New Roman" w:eastAsia="Times New Roman" w:hAnsi="Times New Roman"/>
                <w:sz w:val="29"/>
                <w:szCs w:val="29"/>
                <w:b w:val="1"/>
                <w:bCs w:val="1"/>
                <w:color w:val="auto"/>
                <w:vertAlign w:val="superscript"/>
              </w:rPr>
              <w:t>(1)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22,634</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12,557</w:t>
            </w:r>
          </w:p>
        </w:tc>
        <w:tc>
          <w:tcPr>
            <w:tcW w:w="80" w:type="dxa"/>
            <w:vAlign w:val="bottom"/>
          </w:tcPr>
          <w:p>
            <w:pPr>
              <w:spacing w:after="0"/>
              <w:rPr>
                <w:sz w:val="23"/>
                <w:szCs w:val="23"/>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101,294</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55,898</w:t>
            </w:r>
          </w:p>
        </w:tc>
      </w:tr>
      <w:tr>
        <w:trPr>
          <w:trHeight w:val="210"/>
        </w:trPr>
        <w:tc>
          <w:tcPr>
            <w:tcW w:w="54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338,947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381,655</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1,260,353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1,292,391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117,880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91,603</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494,324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464,825</w:t>
            </w:r>
          </w:p>
        </w:tc>
        <w:tc>
          <w:tcPr>
            <w:tcW w:w="100" w:type="dxa"/>
            <w:vAlign w:val="bottom"/>
            <w:tcBorders>
              <w:bottom w:val="single" w:sz="8" w:color="CCEEFF"/>
            </w:tcBorders>
          </w:tcPr>
          <w:p>
            <w:pPr>
              <w:spacing w:after="0"/>
              <w:rPr>
                <w:sz w:val="18"/>
                <w:szCs w:val="18"/>
                <w:color w:val="auto"/>
              </w:rPr>
            </w:pPr>
          </w:p>
        </w:tc>
      </w:tr>
      <w:tr>
        <w:trPr>
          <w:trHeight w:val="209"/>
        </w:trPr>
        <w:tc>
          <w:tcPr>
            <w:tcW w:w="5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Non-operating income (loss):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Investment related income (loss),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(86,737)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(29,186)</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(74,557)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15,792</w:t>
            </w:r>
          </w:p>
        </w:tc>
      </w:tr>
      <w:tr>
        <w:trPr>
          <w:trHeight w:val="229"/>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 and other income (loss), net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1,618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(28,402)</w:t>
            </w:r>
          </w:p>
        </w:tc>
        <w:tc>
          <w:tcPr>
            <w:tcW w:w="80" w:type="dxa"/>
            <w:vAlign w:val="bottom"/>
          </w:tcPr>
          <w:p>
            <w:pPr>
              <w:spacing w:after="0"/>
              <w:rPr>
                <w:sz w:val="19"/>
                <w:szCs w:val="19"/>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888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124,979</w:t>
            </w:r>
          </w:p>
        </w:tc>
      </w:tr>
      <w:tr>
        <w:trPr>
          <w:trHeight w:val="210"/>
        </w:trPr>
        <w:tc>
          <w:tcPr>
            <w:tcW w:w="5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(85,119</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(57,588</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(73,669</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140,771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 expenses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32,761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34,015</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420,655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605,596</w:t>
            </w:r>
          </w:p>
        </w:tc>
      </w:tr>
      <w:tr>
        <w:trPr>
          <w:trHeight w:val="230"/>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Less: Income tax expenses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20,034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31,283</w:t>
            </w:r>
          </w:p>
        </w:tc>
        <w:tc>
          <w:tcPr>
            <w:tcW w:w="80" w:type="dxa"/>
            <w:vAlign w:val="bottom"/>
          </w:tcPr>
          <w:p>
            <w:pPr>
              <w:spacing w:after="0"/>
              <w:rPr>
                <w:sz w:val="19"/>
                <w:szCs w:val="19"/>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110,550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144,521</w:t>
            </w:r>
          </w:p>
        </w:tc>
      </w:tr>
      <w:tr>
        <w:trPr>
          <w:trHeight w:val="210"/>
        </w:trPr>
        <w:tc>
          <w:tcPr>
            <w:tcW w:w="5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12,727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2,732</w:t>
            </w:r>
          </w:p>
        </w:tc>
        <w:tc>
          <w:tcPr>
            <w:tcW w:w="8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310,105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461,075</w:t>
            </w:r>
          </w:p>
        </w:tc>
      </w:tr>
      <w:tr>
        <w:trPr>
          <w:trHeight w:val="216"/>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Less:  Net income attributable to non-controlling interests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992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1,335</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2,556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2,968</w:t>
            </w:r>
          </w:p>
        </w:tc>
      </w:tr>
      <w:tr>
        <w:trPr>
          <w:trHeight w:val="229"/>
        </w:trPr>
        <w:tc>
          <w:tcPr>
            <w:tcW w:w="54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Accretion to redeemable non-controlling interests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2,870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6,119</w:t>
            </w:r>
          </w:p>
        </w:tc>
        <w:tc>
          <w:tcPr>
            <w:tcW w:w="80" w:type="dxa"/>
            <w:vAlign w:val="bottom"/>
          </w:tcPr>
          <w:p>
            <w:pPr>
              <w:spacing w:after="0"/>
              <w:rPr>
                <w:sz w:val="19"/>
                <w:szCs w:val="19"/>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6,748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9,087</w:t>
            </w:r>
          </w:p>
        </w:tc>
      </w:tr>
      <w:tr>
        <w:trPr>
          <w:trHeight w:val="223"/>
        </w:trPr>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Weibo’s shareholders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8,865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300,801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449,020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net income (loss) per share attributable to Weibo’s shareholders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0.04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(0.02)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1.27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1.88</w:t>
            </w:r>
          </w:p>
        </w:tc>
      </w:tr>
      <w:tr>
        <w:trPr>
          <w:trHeight w:val="194"/>
        </w:trPr>
        <w:tc>
          <w:tcPr>
            <w:tcW w:w="54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Diluted net income (loss) per share attributable to Weibo’s</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0.04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(0.02)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1.16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1.70</w:t>
            </w:r>
          </w:p>
        </w:tc>
      </w:tr>
      <w:tr>
        <w:trPr>
          <w:trHeight w:val="216"/>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54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Shares used in computing basic net income (loss) per share</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attributable to Weibo’s shareholders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237,970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239,281</w:t>
            </w:r>
          </w:p>
        </w:tc>
        <w:tc>
          <w:tcPr>
            <w:tcW w:w="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237,324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238,787</w:t>
            </w:r>
          </w:p>
        </w:tc>
      </w:tr>
      <w:tr>
        <w:trPr>
          <w:trHeight w:val="194"/>
        </w:trPr>
        <w:tc>
          <w:tcPr>
            <w:tcW w:w="54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Shares used in computing diluted net income (loss) per share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attributable to Weibo’s shareholders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239,983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239,281</w:t>
            </w:r>
          </w:p>
        </w:tc>
        <w:tc>
          <w:tcPr>
            <w:tcW w:w="80" w:type="dxa"/>
            <w:vAlign w:val="bottom"/>
          </w:tcPr>
          <w:p>
            <w:pPr>
              <w:spacing w:after="0"/>
              <w:rPr>
                <w:sz w:val="20"/>
                <w:szCs w:val="20"/>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265,241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268,560</w:t>
            </w:r>
          </w:p>
        </w:tc>
      </w:tr>
      <w:tr>
        <w:trPr>
          <w:trHeight w:val="216"/>
        </w:trPr>
        <w:tc>
          <w:tcPr>
            <w:tcW w:w="5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(1) Stock-based compensation in each category: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1,115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5,954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3,502</w:t>
            </w:r>
          </w:p>
        </w:tc>
      </w:tr>
      <w:tr>
        <w:trPr>
          <w:trHeight w:val="21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2,553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768</w:t>
            </w:r>
          </w:p>
        </w:tc>
        <w:tc>
          <w:tcPr>
            <w:tcW w:w="8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13,041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7,901</w:t>
            </w:r>
          </w:p>
        </w:tc>
      </w:tr>
      <w:tr>
        <w:trPr>
          <w:trHeight w:val="216"/>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6,079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1,868</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33,403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18,537</w:t>
            </w:r>
          </w:p>
        </w:tc>
      </w:tr>
      <w:tr>
        <w:trPr>
          <w:trHeight w:val="234"/>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1,512</w:t>
            </w:r>
          </w:p>
        </w:tc>
        <w:tc>
          <w:tcPr>
            <w:tcW w:w="80" w:type="dxa"/>
            <w:vAlign w:val="bottom"/>
          </w:tcPr>
          <w:p>
            <w:pPr>
              <w:spacing w:after="0"/>
              <w:rPr>
                <w:sz w:val="20"/>
                <w:szCs w:val="20"/>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17,316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12,127</w:t>
            </w:r>
          </w:p>
        </w:tc>
      </w:tr>
      <w:tr>
        <w:trPr>
          <w:trHeight w:val="630"/>
        </w:trPr>
        <w:tc>
          <w:tcPr>
            <w:tcW w:w="5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WEIBO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44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1" w:lineRule="exact"/>
              <w:rPr>
                <w:sz w:val="20"/>
                <w:szCs w:val="20"/>
                <w:color w:val="auto"/>
              </w:rPr>
            </w:pPr>
            <w:r>
              <w:rPr>
                <w:rFonts w:ascii="Times New Roman" w:cs="Times New Roman" w:eastAsia="Times New Roman" w:hAnsi="Times New Roman"/>
                <w:sz w:val="18"/>
                <w:szCs w:val="18"/>
                <w:b w:val="1"/>
                <w:bCs w:val="1"/>
                <w:color w:val="auto"/>
                <w:w w:val="97"/>
              </w:rPr>
              <w:t>December 31,</w:t>
            </w:r>
          </w:p>
        </w:tc>
        <w:tc>
          <w:tcPr>
            <w:tcW w:w="100" w:type="dxa"/>
            <w:vAlign w:val="bottom"/>
          </w:tcPr>
          <w:p>
            <w:pPr>
              <w:spacing w:after="0"/>
              <w:rPr>
                <w:sz w:val="17"/>
                <w:szCs w:val="17"/>
                <w:color w:val="auto"/>
              </w:rPr>
            </w:pPr>
          </w:p>
        </w:tc>
      </w:tr>
      <w:tr>
        <w:trPr>
          <w:trHeight w:val="238"/>
        </w:trPr>
        <w:tc>
          <w:tcPr>
            <w:tcW w:w="44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444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jc w:val="right"/>
              <w:ind w:right="27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4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1,890,632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2,298,941</w:t>
            </w:r>
          </w:p>
        </w:tc>
      </w:tr>
      <w:tr>
        <w:trPr>
          <w:trHeight w:val="216"/>
        </w:trPr>
        <w:tc>
          <w:tcPr>
            <w:tcW w:w="44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459,852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106,139</w:t>
            </w:r>
          </w:p>
        </w:tc>
      </w:tr>
      <w:tr>
        <w:trPr>
          <w:trHeight w:val="216"/>
        </w:trPr>
        <w:tc>
          <w:tcPr>
            <w:tcW w:w="4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4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339,754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400,209</w:t>
            </w:r>
          </w:p>
        </w:tc>
      </w:tr>
      <w:tr>
        <w:trPr>
          <w:trHeight w:val="216"/>
        </w:trPr>
        <w:tc>
          <w:tcPr>
            <w:tcW w:w="44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348,774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330,356</w:t>
            </w:r>
          </w:p>
        </w:tc>
      </w:tr>
      <w:tr>
        <w:trPr>
          <w:trHeight w:val="270"/>
        </w:trPr>
        <w:tc>
          <w:tcPr>
            <w:tcW w:w="4440" w:type="dxa"/>
            <w:vAlign w:val="bottom"/>
            <w:shd w:val="clear" w:color="auto" w:fill="CCEEFF"/>
          </w:tcPr>
          <w:p>
            <w:pPr>
              <w:ind w:left="340"/>
              <w:spacing w:after="0" w:line="270" w:lineRule="exact"/>
              <w:rPr>
                <w:sz w:val="20"/>
                <w:szCs w:val="20"/>
                <w:color w:val="auto"/>
              </w:rPr>
            </w:pPr>
            <w:r>
              <w:rPr>
                <w:rFonts w:ascii="Times New Roman" w:cs="Times New Roman" w:eastAsia="Times New Roman" w:hAnsi="Times New Roman"/>
                <w:sz w:val="18"/>
                <w:szCs w:val="18"/>
                <w:b w:val="1"/>
                <w:bCs w:val="1"/>
                <w:color w:val="auto"/>
              </w:rPr>
              <w:t>Amount due from SINA</w:t>
            </w:r>
            <w:r>
              <w:rPr>
                <w:rFonts w:ascii="Times New Roman" w:cs="Times New Roman" w:eastAsia="Times New Roman" w:hAnsi="Times New Roman"/>
                <w:sz w:val="29"/>
                <w:szCs w:val="29"/>
                <w:b w:val="1"/>
                <w:bCs w:val="1"/>
                <w:color w:val="auto"/>
                <w:vertAlign w:val="superscript"/>
              </w:rPr>
              <w:t>(1)</w:t>
            </w:r>
          </w:p>
        </w:tc>
        <w:tc>
          <w:tcPr>
            <w:tcW w:w="4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452,769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441,143</w:t>
            </w:r>
          </w:p>
        </w:tc>
      </w:tr>
      <w:tr>
        <w:trPr>
          <w:trHeight w:val="210"/>
        </w:trPr>
        <w:tc>
          <w:tcPr>
            <w:tcW w:w="44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Current assets subtotal</w:t>
            </w:r>
          </w:p>
        </w:tc>
        <w:tc>
          <w:tcPr>
            <w:tcW w:w="40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3,491,781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3,576,788</w:t>
            </w: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br w:type="column"/>
      </w:r>
    </w:p>
    <w:p>
      <w:pPr>
        <w:jc w:val="both"/>
        <w:ind w:left="66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215,034</w:t>
      </w:r>
      <w:r>
        <w:rPr>
          <w:sz w:val="20"/>
          <w:szCs w:val="20"/>
          <w:color w:val="auto"/>
        </w:rPr>
        <w:tab/>
      </w:r>
      <w:r>
        <w:rPr>
          <w:rFonts w:ascii="Times New Roman" w:cs="Times New Roman" w:eastAsia="Times New Roman" w:hAnsi="Times New Roman"/>
          <w:sz w:val="18"/>
          <w:szCs w:val="18"/>
          <w:b w:val="1"/>
          <w:bCs w:val="1"/>
          <w:color w:val="auto"/>
        </w:rPr>
        <w:t>282,442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-5353685</wp:posOffset>
            </wp:positionH>
            <wp:positionV relativeFrom="paragraph">
              <wp:posOffset>5715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both"/>
        <w:ind w:left="66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272,004</w:t>
      </w:r>
      <w:r>
        <w:rPr>
          <w:sz w:val="20"/>
          <w:szCs w:val="20"/>
          <w:color w:val="auto"/>
        </w:rPr>
        <w:tab/>
      </w:r>
      <w:r>
        <w:rPr>
          <w:rFonts w:ascii="Times New Roman" w:cs="Times New Roman" w:eastAsia="Times New Roman" w:hAnsi="Times New Roman"/>
          <w:sz w:val="18"/>
          <w:szCs w:val="18"/>
          <w:b w:val="1"/>
          <w:bCs w:val="1"/>
          <w:color w:val="auto"/>
        </w:rPr>
        <w:t>265,573</w:t>
      </w:r>
    </w:p>
    <w:p>
      <w:pPr>
        <w:spacing w:after="0" w:line="9" w:lineRule="exact"/>
        <w:rPr>
          <w:sz w:val="20"/>
          <w:szCs w:val="20"/>
          <w:color w:val="auto"/>
        </w:rPr>
      </w:pPr>
    </w:p>
    <w:p>
      <w:pPr>
        <w:jc w:val="both"/>
        <w:ind w:left="5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1,389,199</w:t>
      </w:r>
      <w:r>
        <w:rPr>
          <w:sz w:val="20"/>
          <w:szCs w:val="20"/>
          <w:color w:val="auto"/>
        </w:rPr>
        <w:tab/>
      </w:r>
      <w:r>
        <w:rPr>
          <w:rFonts w:ascii="Times New Roman" w:cs="Times New Roman" w:eastAsia="Times New Roman" w:hAnsi="Times New Roman"/>
          <w:sz w:val="18"/>
          <w:szCs w:val="18"/>
          <w:b w:val="1"/>
          <w:bCs w:val="1"/>
          <w:color w:val="auto"/>
        </w:rPr>
        <w:t>1,663,346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-5353685</wp:posOffset>
            </wp:positionH>
            <wp:positionV relativeFrom="paragraph">
              <wp:posOffset>5715</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jc w:val="both"/>
        <w:ind w:left="5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1,136,481</w:t>
      </w:r>
      <w:r>
        <w:rPr>
          <w:sz w:val="20"/>
          <w:szCs w:val="20"/>
          <w:color w:val="auto"/>
        </w:rPr>
        <w:tab/>
      </w:r>
      <w:r>
        <w:rPr>
          <w:rFonts w:ascii="Times New Roman" w:cs="Times New Roman" w:eastAsia="Times New Roman" w:hAnsi="Times New Roman"/>
          <w:sz w:val="18"/>
          <w:szCs w:val="18"/>
          <w:b w:val="1"/>
          <w:bCs w:val="1"/>
          <w:color w:val="auto"/>
        </w:rPr>
        <w:t>1,303,037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7056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7" w:lineRule="exact"/>
        <w:rPr>
          <w:sz w:val="20"/>
          <w:szCs w:val="20"/>
          <w:color w:val="auto"/>
        </w:rPr>
      </w:pPr>
    </w:p>
    <w:p>
      <w:pPr>
        <w:spacing w:after="0"/>
        <w:tabs>
          <w:tab w:leader="none" w:pos="500" w:val="left"/>
          <w:tab w:leader="none" w:pos="1440" w:val="left"/>
          <w:tab w:leader="none" w:pos="196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6,504,499</w:t>
        <w:tab/>
        <w:t>$</w:t>
      </w:r>
      <w:r>
        <w:rPr>
          <w:sz w:val="20"/>
          <w:szCs w:val="20"/>
          <w:color w:val="auto"/>
        </w:rPr>
        <w:tab/>
      </w:r>
      <w:r>
        <w:rPr>
          <w:rFonts w:ascii="Times New Roman" w:cs="Times New Roman" w:eastAsia="Times New Roman" w:hAnsi="Times New Roman"/>
          <w:sz w:val="18"/>
          <w:szCs w:val="18"/>
          <w:b w:val="1"/>
          <w:bCs w:val="1"/>
          <w:color w:val="auto"/>
        </w:rPr>
        <w:t>7,091,186</w:t>
      </w:r>
    </w:p>
    <w:p>
      <w:pPr>
        <w:spacing w:after="0" w:line="31" w:lineRule="exact"/>
        <w:rPr>
          <w:sz w:val="20"/>
          <w:szCs w:val="20"/>
          <w:color w:val="auto"/>
        </w:rPr>
      </w:pPr>
    </w:p>
    <w:p>
      <w:pPr>
        <w:sectPr>
          <w:pgSz w:w="11900" w:h="16838" w:orient="portrait"/>
          <w:cols w:equalWidth="0" w:num="2">
            <w:col w:w="7720" w:space="720"/>
            <w:col w:w="280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6140" w:type="dxa"/>
            <w:vAlign w:val="bottom"/>
            <w:tcBorders>
              <w:top w:val="single" w:sz="8" w:color="CCEEFF"/>
            </w:tcBorders>
            <w:shd w:val="clear" w:color="auto" w:fill="CCEEFF"/>
          </w:tcPr>
          <w:p>
            <w:pPr>
              <w:spacing w:after="0"/>
              <w:rPr>
                <w:sz w:val="20"/>
                <w:szCs w:val="20"/>
                <w:color w:val="auto"/>
              </w:rPr>
            </w:pPr>
          </w:p>
        </w:tc>
        <w:tc>
          <w:tcPr>
            <w:tcW w:w="23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16"/>
        </w:trPr>
        <w:tc>
          <w:tcPr>
            <w:tcW w:w="8760" w:type="dxa"/>
            <w:vAlign w:val="bottom"/>
            <w:gridSpan w:val="3"/>
          </w:tcPr>
          <w:p>
            <w:pPr>
              <w:ind w:left="2680"/>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Interests and Shareholders’ Equity</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Accounts payable</w:t>
            </w:r>
          </w:p>
        </w:tc>
        <w:tc>
          <w:tcPr>
            <w:tcW w:w="2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158,435</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248,977</w:t>
            </w:r>
          </w:p>
        </w:tc>
      </w:tr>
      <w:tr>
        <w:trPr>
          <w:trHeight w:val="216"/>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652,369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648,492</w:t>
            </w:r>
          </w:p>
        </w:tc>
      </w:tr>
      <w:tr>
        <w:trPr>
          <w:trHeight w:val="216"/>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Income tax payable</w:t>
            </w: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84,690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80,049</w:t>
            </w:r>
          </w:p>
        </w:tc>
      </w:tr>
      <w:tr>
        <w:trPr>
          <w:trHeight w:val="230"/>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Deferred revenues</w:t>
            </w:r>
          </w:p>
        </w:tc>
        <w:tc>
          <w:tcPr>
            <w:tcW w:w="2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72,642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78,315</w:t>
            </w:r>
          </w:p>
        </w:tc>
      </w:tr>
      <w:tr>
        <w:trPr>
          <w:trHeight w:val="209"/>
        </w:trPr>
        <w:tc>
          <w:tcPr>
            <w:tcW w:w="614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Current liabilities subtotal</w:t>
            </w:r>
          </w:p>
        </w:tc>
        <w:tc>
          <w:tcPr>
            <w:tcW w:w="2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968,136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1,055,833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Convertible senior notes</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320,803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323,944</w:t>
            </w:r>
          </w:p>
        </w:tc>
      </w:tr>
      <w:tr>
        <w:trPr>
          <w:trHeight w:val="216"/>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Unsecured senior notes</w:t>
            </w: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744,662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745,630</w:t>
            </w:r>
          </w:p>
        </w:tc>
      </w:tr>
      <w:tr>
        <w:trPr>
          <w:trHeight w:val="216"/>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Long-term loans</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795,311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793,976</w:t>
            </w:r>
          </w:p>
        </w:tc>
      </w:tr>
      <w:tr>
        <w:trPr>
          <w:trHeight w:val="230"/>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2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96,701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164,240</w:t>
            </w:r>
          </w:p>
        </w:tc>
      </w:tr>
      <w:tr>
        <w:trPr>
          <w:trHeight w:val="210"/>
        </w:trPr>
        <w:tc>
          <w:tcPr>
            <w:tcW w:w="61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2,925,613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3,083,623</w:t>
            </w:r>
          </w:p>
        </w:tc>
        <w:tc>
          <w:tcPr>
            <w:tcW w:w="100" w:type="dxa"/>
            <w:vAlign w:val="bottom"/>
            <w:tcBorders>
              <w:bottom w:val="single" w:sz="8" w:color="CCEEFF"/>
            </w:tcBorders>
          </w:tcPr>
          <w:p>
            <w:pPr>
              <w:spacing w:after="0"/>
              <w:rPr>
                <w:sz w:val="18"/>
                <w:szCs w:val="18"/>
                <w:color w:val="auto"/>
              </w:rPr>
            </w:pPr>
          </w:p>
        </w:tc>
      </w:tr>
      <w:tr>
        <w:trPr>
          <w:trHeight w:val="209"/>
        </w:trPr>
        <w:tc>
          <w:tcPr>
            <w:tcW w:w="61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tc>
        <w:tc>
          <w:tcPr>
            <w:tcW w:w="2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45,103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32,828</w:t>
            </w:r>
          </w:p>
        </w:tc>
      </w:tr>
      <w:tr>
        <w:trPr>
          <w:trHeight w:val="210"/>
        </w:trPr>
        <w:tc>
          <w:tcPr>
            <w:tcW w:w="614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Shareholders’ equity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b w:val="1"/>
          <w:bCs w:val="1"/>
          <w:color w:val="auto"/>
        </w:rPr>
        <w:t>Weibo shareholders’ equity</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liabilities, redeemable non-controlling interests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17830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5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3,482,771</w:t>
      </w:r>
      <w:r>
        <w:rPr>
          <w:sz w:val="20"/>
          <w:szCs w:val="20"/>
          <w:color w:val="auto"/>
        </w:rPr>
        <w:tab/>
      </w:r>
      <w:r>
        <w:rPr>
          <w:rFonts w:ascii="Times New Roman" w:cs="Times New Roman" w:eastAsia="Times New Roman" w:hAnsi="Times New Roman"/>
          <w:sz w:val="18"/>
          <w:szCs w:val="18"/>
          <w:b w:val="1"/>
          <w:bCs w:val="1"/>
          <w:color w:val="auto"/>
        </w:rPr>
        <w:t>3,920,729</w:t>
      </w:r>
    </w:p>
    <w:p>
      <w:pPr>
        <w:spacing w:after="0" w:line="31" w:lineRule="exact"/>
        <w:rPr>
          <w:sz w:val="20"/>
          <w:szCs w:val="20"/>
          <w:color w:val="auto"/>
        </w:rPr>
      </w:pPr>
    </w:p>
    <w:p>
      <w:pPr>
        <w:jc w:val="both"/>
        <w:ind w:left="760"/>
        <w:spacing w:after="0"/>
        <w:tabs>
          <w:tab w:leader="none" w:pos="2180" w:val="left"/>
        </w:tabs>
        <w:rPr>
          <w:sz w:val="20"/>
          <w:szCs w:val="20"/>
          <w:color w:val="auto"/>
        </w:rPr>
      </w:pPr>
      <w:r>
        <w:rPr>
          <w:rFonts w:ascii="Times New Roman" w:cs="Times New Roman" w:eastAsia="Times New Roman" w:hAnsi="Times New Roman"/>
          <w:sz w:val="18"/>
          <w:szCs w:val="18"/>
          <w:b w:val="1"/>
          <w:bCs w:val="1"/>
          <w:color w:val="auto"/>
        </w:rPr>
        <w:t>51,012</w:t>
      </w:r>
      <w:r>
        <w:rPr>
          <w:sz w:val="20"/>
          <w:szCs w:val="20"/>
          <w:color w:val="auto"/>
        </w:rPr>
        <w:tab/>
      </w:r>
      <w:r>
        <w:rPr>
          <w:rFonts w:ascii="Times New Roman" w:cs="Times New Roman" w:eastAsia="Times New Roman" w:hAnsi="Times New Roman"/>
          <w:sz w:val="18"/>
          <w:szCs w:val="18"/>
          <w:b w:val="1"/>
          <w:bCs w:val="1"/>
          <w:color w:val="auto"/>
        </w:rPr>
        <w:t>54,006</w:t>
      </w:r>
    </w:p>
    <w:p>
      <w:pPr>
        <w:spacing w:after="0" w:line="23" w:lineRule="exact"/>
        <w:rPr>
          <w:sz w:val="20"/>
          <w:szCs w:val="20"/>
          <w:color w:val="auto"/>
        </w:rPr>
      </w:pPr>
    </w:p>
    <w:p>
      <w:pPr>
        <w:ind w:left="5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3,533,783</w:t>
      </w:r>
      <w:r>
        <w:rPr>
          <w:sz w:val="20"/>
          <w:szCs w:val="20"/>
          <w:color w:val="auto"/>
        </w:rPr>
        <w:tab/>
      </w:r>
      <w:r>
        <w:rPr>
          <w:rFonts w:ascii="Times New Roman" w:cs="Times New Roman" w:eastAsia="Times New Roman" w:hAnsi="Times New Roman"/>
          <w:sz w:val="18"/>
          <w:szCs w:val="18"/>
          <w:b w:val="1"/>
          <w:bCs w:val="1"/>
          <w:color w:val="auto"/>
        </w:rPr>
        <w:t>3,974,735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7056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7" w:lineRule="exact"/>
        <w:rPr>
          <w:sz w:val="20"/>
          <w:szCs w:val="20"/>
          <w:color w:val="auto"/>
        </w:rPr>
      </w:pPr>
    </w:p>
    <w:p>
      <w:pPr>
        <w:spacing w:after="0"/>
        <w:tabs>
          <w:tab w:leader="none" w:pos="500" w:val="left"/>
          <w:tab w:leader="none" w:pos="1440" w:val="left"/>
          <w:tab w:leader="none" w:pos="196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6,504,499</w:t>
        <w:tab/>
        <w:t>$</w:t>
      </w:r>
      <w:r>
        <w:rPr>
          <w:sz w:val="20"/>
          <w:szCs w:val="20"/>
          <w:color w:val="auto"/>
        </w:rPr>
        <w:tab/>
      </w:r>
      <w:r>
        <w:rPr>
          <w:rFonts w:ascii="Times New Roman" w:cs="Times New Roman" w:eastAsia="Times New Roman" w:hAnsi="Times New Roman"/>
          <w:sz w:val="18"/>
          <w:szCs w:val="18"/>
          <w:b w:val="1"/>
          <w:bCs w:val="1"/>
          <w:color w:val="auto"/>
        </w:rPr>
        <w:t>7,091,186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170561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05610"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20" w:space="720"/>
            <w:col w:w="2800"/>
          </w:cols>
          <w:pgMar w:left="320" w:top="900" w:right="339" w:bottom="1440" w:gutter="0" w:footer="0" w:header="0"/>
          <w:type w:val="continuous"/>
        </w:sectPr>
      </w:pPr>
    </w:p>
    <w:p>
      <w:pPr>
        <w:spacing w:after="0" w:line="124" w:lineRule="exact"/>
        <w:rPr>
          <w:sz w:val="20"/>
          <w:szCs w:val="20"/>
          <w:color w:val="auto"/>
        </w:rPr>
      </w:pPr>
    </w:p>
    <w:p>
      <w:pPr>
        <w:ind w:right="1020" w:firstLine="8"/>
        <w:spacing w:after="0" w:line="282"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short-term loans to and interest receivable from SINA of US$417.7 million as of December 31, 2024 and US$401.9 million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WEIBO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RECONCILIATION OF NON-GAAP TO GAAP RESULTS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per share data)</w:t>
      </w:r>
    </w:p>
    <w:p>
      <w:pPr>
        <w:sectPr>
          <w:pgSz w:w="11900" w:h="16838" w:orient="portrait"/>
          <w:cols w:equalWidth="0" w:num="1">
            <w:col w:w="11240"/>
          </w:cols>
          <w:pgMar w:left="320" w:top="900" w:right="339" w:bottom="11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from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 Stock-based compensation</w:t>
      </w:r>
    </w:p>
    <w:p>
      <w:pPr>
        <w:spacing w:after="0" w:line="9" w:lineRule="exact"/>
        <w:rPr>
          <w:sz w:val="20"/>
          <w:szCs w:val="20"/>
          <w:color w:val="auto"/>
        </w:rPr>
      </w:pPr>
    </w:p>
    <w:p>
      <w:pPr>
        <w:ind w:left="500" w:right="200" w:hanging="161"/>
        <w:spacing w:after="0" w:line="250" w:lineRule="auto"/>
        <w:rPr>
          <w:sz w:val="20"/>
          <w:szCs w:val="20"/>
          <w:color w:val="auto"/>
        </w:rPr>
      </w:pPr>
      <w:r>
        <w:rPr>
          <w:rFonts w:ascii="Times New Roman" w:cs="Times New Roman" w:eastAsia="Times New Roman" w:hAnsi="Times New Roman"/>
          <w:sz w:val="18"/>
          <w:szCs w:val="18"/>
          <w:color w:val="auto"/>
        </w:rPr>
        <w:t>Amortization of intangible assets resulting from business acquisitions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income from operations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292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0"/>
                <w:szCs w:val="20"/>
                <w:color w:val="auto"/>
              </w:rPr>
            </w:pPr>
          </w:p>
        </w:tc>
        <w:tc>
          <w:tcPr>
            <w:tcW w:w="266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01"/>
        </w:trPr>
        <w:tc>
          <w:tcPr>
            <w:tcW w:w="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right"/>
              <w:ind w:right="36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0"/>
              <w:spacing w:after="0" w:line="201" w:lineRule="exact"/>
              <w:rPr>
                <w:sz w:val="20"/>
                <w:szCs w:val="20"/>
                <w:color w:val="auto"/>
              </w:rPr>
            </w:pPr>
            <w:r>
              <w:rPr>
                <w:rFonts w:ascii="Times New Roman" w:cs="Times New Roman" w:eastAsia="Times New Roman" w:hAnsi="Times New Roman"/>
                <w:sz w:val="18"/>
                <w:szCs w:val="18"/>
                <w:b w:val="1"/>
                <w:bCs w:val="1"/>
                <w:color w:val="auto"/>
                <w:w w:val="97"/>
              </w:rPr>
              <w:t>December 31,</w:t>
            </w:r>
          </w:p>
        </w:tc>
        <w:tc>
          <w:tcPr>
            <w:tcW w:w="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0"/>
              <w:spacing w:after="0" w:line="201" w:lineRule="exact"/>
              <w:rPr>
                <w:sz w:val="20"/>
                <w:szCs w:val="20"/>
                <w:color w:val="auto"/>
              </w:rPr>
            </w:pPr>
            <w:r>
              <w:rPr>
                <w:rFonts w:ascii="Times New Roman" w:cs="Times New Roman" w:eastAsia="Times New Roman" w:hAnsi="Times New Roman"/>
                <w:sz w:val="18"/>
                <w:szCs w:val="18"/>
                <w:b w:val="1"/>
                <w:bCs w:val="1"/>
                <w:color w:val="auto"/>
                <w:w w:val="97"/>
              </w:rPr>
              <w:t>December 31,</w:t>
            </w:r>
          </w:p>
        </w:tc>
        <w:tc>
          <w:tcPr>
            <w:tcW w:w="20" w:type="dxa"/>
            <w:vAlign w:val="bottom"/>
          </w:tcPr>
          <w:p>
            <w:pPr>
              <w:spacing w:after="0"/>
              <w:rPr>
                <w:sz w:val="17"/>
                <w:szCs w:val="17"/>
                <w:color w:val="auto"/>
              </w:rPr>
            </w:pPr>
          </w:p>
        </w:tc>
      </w:tr>
      <w:tr>
        <w:trPr>
          <w:trHeight w:val="238"/>
        </w:trPr>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r>
      <w:tr>
        <w:trPr>
          <w:trHeight w:val="191"/>
        </w:trPr>
        <w:tc>
          <w:tcPr>
            <w:tcW w:w="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117,880</w:t>
            </w:r>
          </w:p>
        </w:tc>
        <w:tc>
          <w:tcPr>
            <w:tcW w:w="280" w:type="dxa"/>
            <w:vAlign w:val="bottom"/>
          </w:tcPr>
          <w:p>
            <w:pPr>
              <w:spacing w:after="0"/>
              <w:rPr>
                <w:sz w:val="16"/>
                <w:szCs w:val="16"/>
                <w:color w:val="auto"/>
              </w:rPr>
            </w:pPr>
          </w:p>
        </w:tc>
        <w:tc>
          <w:tcPr>
            <w:tcW w:w="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91,603</w:t>
            </w:r>
          </w:p>
        </w:tc>
        <w:tc>
          <w:tcPr>
            <w:tcW w:w="280" w:type="dxa"/>
            <w:vAlign w:val="bottom"/>
          </w:tcPr>
          <w:p>
            <w:pPr>
              <w:spacing w:after="0"/>
              <w:rPr>
                <w:sz w:val="16"/>
                <w:szCs w:val="16"/>
                <w:color w:val="auto"/>
              </w:rPr>
            </w:pPr>
          </w:p>
        </w:tc>
        <w:tc>
          <w:tcPr>
            <w:tcW w:w="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494,324</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464,825</w:t>
            </w:r>
          </w:p>
        </w:tc>
        <w:tc>
          <w:tcPr>
            <w:tcW w:w="20" w:type="dxa"/>
            <w:vAlign w:val="bottom"/>
          </w:tcPr>
          <w:p>
            <w:pPr>
              <w:spacing w:after="0"/>
              <w:rPr>
                <w:sz w:val="16"/>
                <w:szCs w:val="16"/>
                <w:color w:val="auto"/>
              </w:rPr>
            </w:pPr>
          </w:p>
        </w:tc>
      </w:tr>
      <w:tr>
        <w:trPr>
          <w:trHeight w:val="234"/>
        </w:trPr>
        <w:tc>
          <w:tcPr>
            <w:tcW w:w="8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13,397</w:t>
            </w:r>
          </w:p>
        </w:tc>
        <w:tc>
          <w:tcPr>
            <w:tcW w:w="8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4,577</w:t>
            </w:r>
          </w:p>
        </w:tc>
        <w:tc>
          <w:tcPr>
            <w:tcW w:w="8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69,714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42,067</w:t>
            </w:r>
          </w:p>
        </w:tc>
      </w:tr>
      <w:tr>
        <w:trPr>
          <w:trHeight w:val="445"/>
        </w:trPr>
        <w:tc>
          <w:tcPr>
            <w:tcW w:w="80" w:type="dxa"/>
            <w:vAlign w:val="bottom"/>
          </w:tcPr>
          <w:p>
            <w:pPr>
              <w:spacing w:after="0"/>
              <w:rPr>
                <w:sz w:val="24"/>
                <w:szCs w:val="24"/>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4,874</w:t>
            </w:r>
          </w:p>
        </w:tc>
        <w:tc>
          <w:tcPr>
            <w:tcW w:w="80" w:type="dxa"/>
            <w:vAlign w:val="bottom"/>
          </w:tcPr>
          <w:p>
            <w:pPr>
              <w:spacing w:after="0"/>
              <w:rPr>
                <w:sz w:val="24"/>
                <w:szCs w:val="24"/>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4,247</w:t>
            </w:r>
          </w:p>
        </w:tc>
        <w:tc>
          <w:tcPr>
            <w:tcW w:w="80" w:type="dxa"/>
            <w:vAlign w:val="bottom"/>
          </w:tcPr>
          <w:p>
            <w:pPr>
              <w:spacing w:after="0"/>
              <w:rPr>
                <w:sz w:val="24"/>
                <w:szCs w:val="24"/>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20,056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16,727</w:t>
            </w:r>
          </w:p>
        </w:tc>
      </w:tr>
      <w:tr>
        <w:trPr>
          <w:trHeight w:val="223"/>
        </w:trPr>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136,151</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100,427</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584,094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523,619</w:t>
            </w:r>
          </w:p>
        </w:tc>
        <w:tc>
          <w:tcPr>
            <w:tcW w:w="20" w:type="dxa"/>
            <w:vAlign w:val="bottom"/>
            <w:tcBorders>
              <w:top w:val="single" w:sz="8" w:color="auto"/>
              <w:bottom w:val="single" w:sz="8" w:color="auto"/>
            </w:tcBorders>
          </w:tcPr>
          <w:p>
            <w:pPr>
              <w:spacing w:after="0"/>
              <w:rPr>
                <w:sz w:val="19"/>
                <w:szCs w:val="19"/>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-745490</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-462280</wp:posOffset>
            </wp:positionV>
            <wp:extent cx="7132320" cy="2825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640" w:space="720"/>
            <w:col w:w="5880"/>
          </w:cols>
          <w:pgMar w:left="320" w:top="900" w:right="339" w:bottom="1122"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Weibo’s shareholders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8,865</w:t>
            </w:r>
          </w:p>
        </w:tc>
        <w:tc>
          <w:tcPr>
            <w:tcW w:w="42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(4,722)</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300,801</w:t>
            </w:r>
          </w:p>
        </w:tc>
        <w:tc>
          <w:tcPr>
            <w:tcW w:w="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449,020</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Stock-based compensation</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13,397</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4,577</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69,714</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42,067</w:t>
            </w:r>
          </w:p>
        </w:tc>
      </w:tr>
      <w:tr>
        <w:trPr>
          <w:trHeight w:val="198"/>
        </w:trPr>
        <w:tc>
          <w:tcPr>
            <w:tcW w:w="53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Amortization of intangible assets resulting from business</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5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acquisitions</w:t>
            </w:r>
          </w:p>
        </w:tc>
        <w:tc>
          <w:tcPr>
            <w:tcW w:w="3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4,874</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4,247</w:t>
            </w:r>
          </w:p>
        </w:tc>
        <w:tc>
          <w:tcPr>
            <w:tcW w:w="3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20,056</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16,727</w:t>
            </w:r>
          </w:p>
        </w:tc>
      </w:tr>
      <w:tr>
        <w:trPr>
          <w:trHeight w:val="257"/>
        </w:trPr>
        <w:tc>
          <w:tcPr>
            <w:tcW w:w="5360" w:type="dxa"/>
            <w:vAlign w:val="bottom"/>
            <w:shd w:val="clear" w:color="auto" w:fill="CCEEFF"/>
          </w:tcPr>
          <w:p>
            <w:pPr>
              <w:ind w:left="340"/>
              <w:spacing w:after="0" w:line="256" w:lineRule="exact"/>
              <w:rPr>
                <w:sz w:val="20"/>
                <w:szCs w:val="20"/>
                <w:color w:val="auto"/>
              </w:rPr>
            </w:pPr>
            <w:r>
              <w:rPr>
                <w:rFonts w:ascii="Times New Roman" w:cs="Times New Roman" w:eastAsia="Times New Roman" w:hAnsi="Times New Roman"/>
                <w:sz w:val="18"/>
                <w:szCs w:val="18"/>
                <w:color w:val="auto"/>
              </w:rPr>
              <w:t xml:space="preserve">Investment related gain/loss, net </w:t>
            </w:r>
            <w:r>
              <w:rPr>
                <w:rFonts w:ascii="Times New Roman" w:cs="Times New Roman" w:eastAsia="Times New Roman" w:hAnsi="Times New Roman"/>
                <w:sz w:val="29"/>
                <w:szCs w:val="29"/>
                <w:color w:val="auto"/>
                <w:vertAlign w:val="superscript"/>
              </w:rPr>
              <w:t>(1)</w:t>
            </w:r>
          </w:p>
        </w:tc>
        <w:tc>
          <w:tcPr>
            <w:tcW w:w="3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86,737</w:t>
            </w: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29,186</w:t>
            </w:r>
          </w:p>
        </w:tc>
        <w:tc>
          <w:tcPr>
            <w:tcW w:w="3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74,557</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(15,792)</w:t>
            </w:r>
          </w:p>
        </w:tc>
      </w:tr>
      <w:tr>
        <w:trPr>
          <w:trHeight w:val="198"/>
        </w:trPr>
        <w:tc>
          <w:tcPr>
            <w:tcW w:w="53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Non-GAAP to GAAP reconciling items on the share of equity</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5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method investments</w:t>
            </w:r>
          </w:p>
        </w:tc>
        <w:tc>
          <w:tcPr>
            <w:tcW w:w="3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(5,598)</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44,959</w:t>
            </w:r>
          </w:p>
        </w:tc>
        <w:tc>
          <w:tcPr>
            <w:tcW w:w="3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13,323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(71,866)</w:t>
            </w:r>
          </w:p>
        </w:tc>
      </w:tr>
      <w:tr>
        <w:trPr>
          <w:trHeight w:val="198"/>
        </w:trPr>
        <w:tc>
          <w:tcPr>
            <w:tcW w:w="536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Non-GAAP to GAAP reconciling items for the income/loss</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5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attributable to non-controlling interests</w:t>
            </w:r>
          </w:p>
        </w:tc>
        <w:tc>
          <w:tcPr>
            <w:tcW w:w="3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(346)</w:t>
            </w: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(511)</w:t>
            </w:r>
          </w:p>
        </w:tc>
        <w:tc>
          <w:tcPr>
            <w:tcW w:w="3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(1,718)</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(2,086)</w:t>
            </w:r>
          </w:p>
        </w:tc>
      </w:tr>
      <w:tr>
        <w:trPr>
          <w:trHeight w:val="257"/>
        </w:trPr>
        <w:tc>
          <w:tcPr>
            <w:tcW w:w="5360" w:type="dxa"/>
            <w:vAlign w:val="bottom"/>
          </w:tcPr>
          <w:p>
            <w:pPr>
              <w:ind w:left="340"/>
              <w:spacing w:after="0" w:line="256" w:lineRule="exact"/>
              <w:rPr>
                <w:sz w:val="20"/>
                <w:szCs w:val="20"/>
                <w:color w:val="auto"/>
              </w:rPr>
            </w:pPr>
            <w:r>
              <w:rPr>
                <w:rFonts w:ascii="Times New Roman" w:cs="Times New Roman" w:eastAsia="Times New Roman" w:hAnsi="Times New Roman"/>
                <w:sz w:val="18"/>
                <w:szCs w:val="18"/>
                <w:color w:val="auto"/>
              </w:rPr>
              <w:t xml:space="preserve">Tax effects on non-GAAP adjustments </w:t>
            </w:r>
            <w:r>
              <w:rPr>
                <w:rFonts w:ascii="Times New Roman" w:cs="Times New Roman" w:eastAsia="Times New Roman" w:hAnsi="Times New Roman"/>
                <w:sz w:val="29"/>
                <w:szCs w:val="29"/>
                <w:color w:val="auto"/>
                <w:vertAlign w:val="superscript"/>
              </w:rPr>
              <w:t>(2)</w:t>
            </w:r>
          </w:p>
        </w:tc>
        <w:tc>
          <w:tcPr>
            <w:tcW w:w="36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(3,284)</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(13,278)</w:t>
            </w:r>
          </w:p>
        </w:tc>
        <w:tc>
          <w:tcPr>
            <w:tcW w:w="30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(6,581)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14,004</w:t>
            </w:r>
          </w:p>
        </w:tc>
      </w:tr>
      <w:tr>
        <w:trPr>
          <w:trHeight w:val="198"/>
        </w:trPr>
        <w:tc>
          <w:tcPr>
            <w:tcW w:w="536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Amortization of issuance cost of convertible senior notes,</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48"/>
        </w:trPr>
        <w:tc>
          <w:tcPr>
            <w:tcW w:w="5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unsecured senior notes and long-term loans</w:t>
            </w:r>
          </w:p>
        </w:tc>
        <w:tc>
          <w:tcPr>
            <w:tcW w:w="3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1,943</w:t>
            </w: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1,943</w:t>
            </w: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8,485</w:t>
            </w: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7,772</w:t>
            </w:r>
          </w:p>
        </w:tc>
      </w:tr>
      <w:tr>
        <w:trPr>
          <w:trHeight w:val="263"/>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Non-GAAP net income attributable to Weibo’s shareholders</w:t>
            </w: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106,588</w:t>
            </w:r>
          </w:p>
        </w:tc>
        <w:tc>
          <w:tcPr>
            <w:tcW w:w="2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66,401</w:t>
            </w:r>
          </w:p>
        </w:tc>
        <w:tc>
          <w:tcPr>
            <w:tcW w:w="2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478,637</w:t>
            </w:r>
          </w:p>
        </w:tc>
        <w:tc>
          <w:tcPr>
            <w:tcW w:w="2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439,846</w:t>
            </w:r>
          </w:p>
        </w:tc>
        <w:tc>
          <w:tcPr>
            <w:tcW w:w="160" w:type="dxa"/>
            <w:vAlign w:val="bottom"/>
            <w:tcBorders>
              <w:bottom w:val="single" w:sz="8" w:color="CCEEFF"/>
            </w:tcBorders>
          </w:tcPr>
          <w:p>
            <w:pPr>
              <w:spacing w:after="0"/>
              <w:rPr>
                <w:sz w:val="22"/>
                <w:szCs w:val="22"/>
                <w:color w:val="auto"/>
              </w:rPr>
            </w:pPr>
          </w:p>
        </w:tc>
      </w:tr>
      <w:tr>
        <w:trPr>
          <w:trHeight w:val="196"/>
        </w:trPr>
        <w:tc>
          <w:tcPr>
            <w:tcW w:w="5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4"/>
        </w:trPr>
        <w:tc>
          <w:tcPr>
            <w:tcW w:w="53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Non-GAAP diluted net income per share attributable to Weibo’s</w:t>
            </w: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8"/>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0.40*</w:t>
            </w:r>
          </w:p>
        </w:tc>
        <w:tc>
          <w:tcPr>
            <w:tcW w:w="42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0.25*</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1.82*</w:t>
            </w:r>
          </w:p>
        </w:tc>
        <w:tc>
          <w:tcPr>
            <w:tcW w:w="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1.65*</w:t>
            </w:r>
          </w:p>
        </w:tc>
      </w:tr>
      <w:tr>
        <w:trPr>
          <w:trHeight w:val="216"/>
        </w:trPr>
        <w:tc>
          <w:tcPr>
            <w:tcW w:w="5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98"/>
        </w:trPr>
        <w:tc>
          <w:tcPr>
            <w:tcW w:w="5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used in computing GAAP diluted net income (loss) per share</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Weibo’s shareholders</w:t>
            </w:r>
          </w:p>
        </w:tc>
        <w:tc>
          <w:tcPr>
            <w:tcW w:w="3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239,983</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239,281</w:t>
            </w:r>
          </w:p>
        </w:tc>
        <w:tc>
          <w:tcPr>
            <w:tcW w:w="3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265,241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268,560</w:t>
            </w:r>
          </w:p>
        </w:tc>
      </w:tr>
      <w:tr>
        <w:trPr>
          <w:trHeight w:val="201"/>
        </w:trPr>
        <w:tc>
          <w:tcPr>
            <w:tcW w:w="53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Add: The number of shares for dilution resulted from convertible senior</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71"/>
        </w:trPr>
        <w:tc>
          <w:tcPr>
            <w:tcW w:w="5360" w:type="dxa"/>
            <w:vAlign w:val="bottom"/>
            <w:shd w:val="clear" w:color="auto" w:fill="CCEEFF"/>
          </w:tcPr>
          <w:p>
            <w:pPr>
              <w:ind w:left="340"/>
              <w:spacing w:after="0" w:line="271" w:lineRule="exact"/>
              <w:rPr>
                <w:sz w:val="20"/>
                <w:szCs w:val="20"/>
                <w:color w:val="auto"/>
              </w:rPr>
            </w:pPr>
            <w:r>
              <w:rPr>
                <w:rFonts w:ascii="Times New Roman" w:cs="Times New Roman" w:eastAsia="Times New Roman" w:hAnsi="Times New Roman"/>
                <w:sz w:val="18"/>
                <w:szCs w:val="18"/>
                <w:color w:val="auto"/>
              </w:rPr>
              <w:t xml:space="preserve">notes </w:t>
            </w:r>
            <w:r>
              <w:rPr>
                <w:rFonts w:ascii="Times New Roman" w:cs="Times New Roman" w:eastAsia="Times New Roman" w:hAnsi="Times New Roman"/>
                <w:sz w:val="29"/>
                <w:szCs w:val="29"/>
                <w:color w:val="auto"/>
                <w:vertAlign w:val="superscript"/>
              </w:rPr>
              <w:t>(3)</w:t>
            </w:r>
          </w:p>
        </w:tc>
        <w:tc>
          <w:tcPr>
            <w:tcW w:w="3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26,411</w:t>
            </w:r>
          </w:p>
        </w:tc>
        <w:tc>
          <w:tcPr>
            <w:tcW w:w="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29,492</w:t>
            </w:r>
          </w:p>
        </w:tc>
        <w:tc>
          <w:tcPr>
            <w:tcW w:w="3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5360" w:type="dxa"/>
            <w:vAlign w:val="bottom"/>
          </w:tcPr>
          <w:p>
            <w:pPr>
              <w:ind w:left="340"/>
              <w:spacing w:after="0" w:line="201" w:lineRule="exact"/>
              <w:rPr>
                <w:sz w:val="20"/>
                <w:szCs w:val="20"/>
                <w:color w:val="auto"/>
              </w:rPr>
            </w:pPr>
            <w:r>
              <w:rPr>
                <w:rFonts w:ascii="Times New Roman" w:cs="Times New Roman" w:eastAsia="Times New Roman" w:hAnsi="Times New Roman"/>
                <w:sz w:val="18"/>
                <w:szCs w:val="18"/>
                <w:color w:val="auto"/>
              </w:rPr>
              <w:t>The number of shares for dilution resulted from stock options and</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85"/>
        </w:trPr>
        <w:tc>
          <w:tcPr>
            <w:tcW w:w="5360" w:type="dxa"/>
            <w:vAlign w:val="bottom"/>
          </w:tcPr>
          <w:p>
            <w:pPr>
              <w:ind w:left="500"/>
              <w:spacing w:after="0" w:line="284" w:lineRule="exact"/>
              <w:rPr>
                <w:sz w:val="20"/>
                <w:szCs w:val="20"/>
                <w:color w:val="auto"/>
              </w:rPr>
            </w:pPr>
            <w:r>
              <w:rPr>
                <w:rFonts w:ascii="Times New Roman" w:cs="Times New Roman" w:eastAsia="Times New Roman" w:hAnsi="Times New Roman"/>
                <w:sz w:val="18"/>
                <w:szCs w:val="18"/>
                <w:color w:val="auto"/>
              </w:rPr>
              <w:t xml:space="preserve">unvested restricted share units </w:t>
            </w:r>
            <w:r>
              <w:rPr>
                <w:rFonts w:ascii="Times New Roman" w:cs="Times New Roman" w:eastAsia="Times New Roman" w:hAnsi="Times New Roman"/>
                <w:sz w:val="29"/>
                <w:szCs w:val="29"/>
                <w:color w:val="auto"/>
                <w:vertAlign w:val="superscript"/>
              </w:rPr>
              <w:t>(3)</w:t>
            </w:r>
          </w:p>
        </w:tc>
        <w:tc>
          <w:tcPr>
            <w:tcW w:w="3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1,191</w:t>
            </w:r>
          </w:p>
        </w:tc>
        <w:tc>
          <w:tcPr>
            <w:tcW w:w="3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174"/>
        </w:trPr>
        <w:tc>
          <w:tcPr>
            <w:tcW w:w="536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Shares used in computing non-GAAP diluted net income per share</w:t>
            </w:r>
          </w:p>
        </w:tc>
        <w:tc>
          <w:tcPr>
            <w:tcW w:w="3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r>
      <w:tr>
        <w:trPr>
          <w:trHeight w:val="265"/>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attributable to Weibo’s shareholders</w:t>
            </w:r>
          </w:p>
        </w:tc>
        <w:tc>
          <w:tcPr>
            <w:tcW w:w="3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266,394</w:t>
            </w:r>
          </w:p>
        </w:tc>
        <w:tc>
          <w:tcPr>
            <w:tcW w:w="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269,964</w:t>
            </w:r>
          </w:p>
        </w:tc>
        <w:tc>
          <w:tcPr>
            <w:tcW w:w="3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265,241</w:t>
            </w: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268,560</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6"/>
        </w:trPr>
        <w:tc>
          <w:tcPr>
            <w:tcW w:w="5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 attributable to Weibo’s shareholders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8,865</w:t>
            </w:r>
          </w:p>
        </w:tc>
        <w:tc>
          <w:tcPr>
            <w:tcW w:w="42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(4,722)</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300,801</w:t>
            </w:r>
          </w:p>
        </w:tc>
        <w:tc>
          <w:tcPr>
            <w:tcW w:w="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449,020</w:t>
            </w:r>
          </w:p>
        </w:tc>
      </w:tr>
      <w:tr>
        <w:trPr>
          <w:trHeight w:val="230"/>
        </w:trPr>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Non-GAAP adjustments</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97,723</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71,123</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177,836</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(9,174)</w:t>
            </w:r>
          </w:p>
        </w:tc>
      </w:tr>
      <w:tr>
        <w:trPr>
          <w:trHeight w:val="210"/>
        </w:trPr>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Non-GAAP net income attributable to Weibo’s shareholders</w:t>
            </w: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106,588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66,401</w:t>
            </w: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478,637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439,846</w:t>
            </w:r>
          </w:p>
        </w:tc>
        <w:tc>
          <w:tcPr>
            <w:tcW w:w="160" w:type="dxa"/>
            <w:vAlign w:val="bottom"/>
          </w:tcPr>
          <w:p>
            <w:pPr>
              <w:spacing w:after="0"/>
              <w:rPr>
                <w:sz w:val="18"/>
                <w:szCs w:val="18"/>
                <w:color w:val="auto"/>
              </w:rPr>
            </w:pPr>
          </w:p>
        </w:tc>
      </w:tr>
      <w:tr>
        <w:trPr>
          <w:trHeight w:val="216"/>
        </w:trPr>
        <w:tc>
          <w:tcPr>
            <w:tcW w:w="5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Interest income, net</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(1,514)</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(12,942)</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(26,423)</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(42,158)</w:t>
            </w:r>
          </w:p>
        </w:tc>
      </w:tr>
      <w:tr>
        <w:trPr>
          <w:trHeight w:val="216"/>
        </w:trPr>
        <w:tc>
          <w:tcPr>
            <w:tcW w:w="5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tax expenses</w:t>
            </w: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23,318</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44,561</w:t>
            </w:r>
          </w:p>
        </w:tc>
        <w:tc>
          <w:tcPr>
            <w:tcW w:w="3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117,131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130,517</w:t>
            </w:r>
          </w:p>
        </w:tc>
      </w:tr>
      <w:tr>
        <w:trPr>
          <w:trHeight w:val="230"/>
        </w:trPr>
        <w:tc>
          <w:tcPr>
            <w:tcW w:w="5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Depreciation expenses</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9,248</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10,763</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36,819</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41,254</w:t>
            </w:r>
          </w:p>
        </w:tc>
      </w:tr>
      <w:tr>
        <w:trPr>
          <w:trHeight w:val="263"/>
        </w:trPr>
        <w:tc>
          <w:tcPr>
            <w:tcW w:w="5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137,640</w:t>
            </w:r>
          </w:p>
        </w:tc>
        <w:tc>
          <w:tcPr>
            <w:tcW w:w="2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108,783</w:t>
            </w:r>
          </w:p>
        </w:tc>
        <w:tc>
          <w:tcPr>
            <w:tcW w:w="2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606,164</w:t>
            </w:r>
          </w:p>
        </w:tc>
        <w:tc>
          <w:tcPr>
            <w:tcW w:w="2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569,459</w:t>
            </w:r>
          </w:p>
        </w:tc>
        <w:tc>
          <w:tcPr>
            <w:tcW w:w="160" w:type="dxa"/>
            <w:vAlign w:val="bottom"/>
            <w:tcBorders>
              <w:bottom w:val="single" w:sz="8" w:color="CCEEFF"/>
            </w:tcBorders>
          </w:tcPr>
          <w:p>
            <w:pPr>
              <w:spacing w:after="0"/>
              <w:rPr>
                <w:sz w:val="22"/>
                <w:szCs w:val="22"/>
                <w:color w:val="auto"/>
              </w:rPr>
            </w:pPr>
          </w:p>
        </w:tc>
      </w:tr>
      <w:tr>
        <w:trPr>
          <w:trHeight w:val="196"/>
        </w:trPr>
        <w:tc>
          <w:tcPr>
            <w:tcW w:w="5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456,827</w:t>
            </w:r>
          </w:p>
        </w:tc>
        <w:tc>
          <w:tcPr>
            <w:tcW w:w="42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473,258</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1,754,677</w:t>
            </w:r>
          </w:p>
        </w:tc>
        <w:tc>
          <w:tcPr>
            <w:tcW w:w="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1,757,216</w:t>
            </w:r>
          </w:p>
        </w:tc>
      </w:tr>
      <w:tr>
        <w:trPr>
          <w:trHeight w:val="216"/>
        </w:trPr>
        <w:tc>
          <w:tcPr>
            <w:tcW w:w="5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margin</w:t>
            </w:r>
          </w:p>
        </w:tc>
        <w:tc>
          <w:tcPr>
            <w:tcW w:w="36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3"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adjust impairment and provision on investments, gain/loss on sale of investments and fair value change of investments.</w:t>
      </w:r>
    </w:p>
    <w:p>
      <w:pPr>
        <w:spacing w:after="0" w:line="225" w:lineRule="exact"/>
        <w:rPr>
          <w:rFonts w:ascii="Times New Roman" w:cs="Times New Roman" w:eastAsia="Times New Roman" w:hAnsi="Times New Roman"/>
          <w:sz w:val="18"/>
          <w:szCs w:val="18"/>
          <w:color w:val="auto"/>
        </w:rPr>
      </w:pPr>
    </w:p>
    <w:p>
      <w:pPr>
        <w:ind w:left="340" w:right="80" w:hanging="332"/>
        <w:spacing w:after="0" w:line="26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adjust the income tax effects of non-GAAP adjustments, which primarily related to amortization of intangible assets resulting from business acquisitions and fair value change of investments. Other non-GAAP adjustment items have no tax effect, because (i) they were recorded in entities established in tax free jurisdictions, or (ii) full valuation allowances were provided for related deferred tax assets as it is more-likely-than-not they will not be realized.</w:t>
      </w:r>
    </w:p>
    <w:p>
      <w:pPr>
        <w:spacing w:after="0" w:line="179"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adjust the number of shares for dilution resulted from convertible debt, stock options and unvested restricted share units which were anti-dilutive under GAAP measures.</w:t>
      </w:r>
    </w:p>
    <w:p>
      <w:pPr>
        <w:spacing w:after="0" w:line="162"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Net income attributable to Weibo’s shareholders is adjusted for interest expense of convertible senior notes for calculating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122"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WEIBO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ADDITIONAL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0"/>
                <w:szCs w:val="20"/>
                <w:color w:val="auto"/>
              </w:rPr>
            </w:pPr>
          </w:p>
        </w:tc>
        <w:tc>
          <w:tcPr>
            <w:tcW w:w="2700" w:type="dxa"/>
            <w:vAlign w:val="bottom"/>
            <w:gridSpan w:val="7"/>
          </w:tcPr>
          <w:p>
            <w:pPr>
              <w:ind w:left="42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01"/>
        </w:trPr>
        <w:tc>
          <w:tcPr>
            <w:tcW w:w="3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center"/>
              <w:ind w:right="28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0"/>
              <w:spacing w:after="0" w:line="201" w:lineRule="exact"/>
              <w:rPr>
                <w:sz w:val="20"/>
                <w:szCs w:val="20"/>
                <w:color w:val="auto"/>
              </w:rPr>
            </w:pPr>
            <w:r>
              <w:rPr>
                <w:rFonts w:ascii="Times New Roman" w:cs="Times New Roman" w:eastAsia="Times New Roman" w:hAnsi="Times New Roman"/>
                <w:sz w:val="18"/>
                <w:szCs w:val="18"/>
                <w:b w:val="1"/>
                <w:bCs w:val="1"/>
                <w:color w:val="auto"/>
                <w:w w:val="97"/>
              </w:rPr>
              <w:t>December 31,</w:t>
            </w:r>
          </w:p>
        </w:tc>
        <w:tc>
          <w:tcPr>
            <w:tcW w:w="100" w:type="dxa"/>
            <w:vAlign w:val="bottom"/>
            <w:gridSpan w:val="2"/>
          </w:tcPr>
          <w:p>
            <w:pPr>
              <w:spacing w:after="0"/>
              <w:rPr>
                <w:sz w:val="17"/>
                <w:szCs w:val="17"/>
                <w:color w:val="auto"/>
              </w:rPr>
            </w:pPr>
          </w:p>
        </w:tc>
      </w:tr>
      <w:tr>
        <w:trPr>
          <w:trHeight w:val="238"/>
        </w:trPr>
        <w:tc>
          <w:tcPr>
            <w:tcW w:w="3880" w:type="dxa"/>
            <w:vAlign w:val="bottom"/>
            <w:tcBorders>
              <w:bottom w:val="single" w:sz="8" w:color="CCEEFF"/>
            </w:tcBorders>
          </w:tcPr>
          <w:p>
            <w:pPr>
              <w:spacing w:after="0"/>
              <w:rPr>
                <w:sz w:val="20"/>
                <w:szCs w:val="20"/>
                <w:color w:val="auto"/>
              </w:rPr>
            </w:pPr>
          </w:p>
        </w:tc>
        <w:tc>
          <w:tcPr>
            <w:tcW w:w="16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Advertising and marketing</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Non-Ali advertisers</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345,528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353,803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1,381,908</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1,327,796</w:t>
            </w:r>
          </w:p>
        </w:tc>
        <w:tc>
          <w:tcPr>
            <w:tcW w:w="80" w:type="dxa"/>
            <w:vAlign w:val="bottom"/>
            <w:shd w:val="clear" w:color="auto" w:fill="CCEEFF"/>
          </w:tcPr>
          <w:p>
            <w:pPr>
              <w:spacing w:after="0"/>
              <w:rPr>
                <w:sz w:val="18"/>
                <w:szCs w:val="18"/>
                <w:color w:val="auto"/>
              </w:rPr>
            </w:pPr>
          </w:p>
        </w:tc>
      </w:tr>
      <w:tr>
        <w:trPr>
          <w:trHeight w:val="229"/>
        </w:trPr>
        <w:tc>
          <w:tcPr>
            <w:tcW w:w="38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Alibaba</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40,322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49,996</w:t>
            </w:r>
          </w:p>
        </w:tc>
        <w:tc>
          <w:tcPr>
            <w:tcW w:w="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116,785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173,834</w:t>
            </w:r>
          </w:p>
        </w:tc>
        <w:tc>
          <w:tcPr>
            <w:tcW w:w="80" w:type="dxa"/>
            <w:vAlign w:val="bottom"/>
          </w:tcPr>
          <w:p>
            <w:pPr>
              <w:spacing w:after="0"/>
              <w:rPr>
                <w:sz w:val="19"/>
                <w:szCs w:val="19"/>
                <w:color w:val="auto"/>
              </w:rPr>
            </w:pPr>
          </w:p>
        </w:tc>
      </w:tr>
      <w:tr>
        <w:trPr>
          <w:trHeight w:val="210"/>
        </w:trPr>
        <w:tc>
          <w:tcPr>
            <w:tcW w:w="388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1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385,850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403,799</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w w:val="97"/>
              </w:rPr>
              <w:t>1,498,693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1,501,630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Value-added services</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70,977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69,459</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255,984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255,586</w:t>
            </w:r>
          </w:p>
        </w:tc>
        <w:tc>
          <w:tcPr>
            <w:tcW w:w="80" w:type="dxa"/>
            <w:vAlign w:val="bottom"/>
            <w:shd w:val="clear" w:color="auto" w:fill="CCEEFF"/>
          </w:tcPr>
          <w:p>
            <w:pPr>
              <w:spacing w:after="0"/>
              <w:rPr>
                <w:sz w:val="19"/>
                <w:szCs w:val="19"/>
                <w:color w:val="auto"/>
              </w:rPr>
            </w:pPr>
          </w:p>
        </w:tc>
      </w:tr>
      <w:tr>
        <w:trPr>
          <w:trHeight w:val="223"/>
        </w:trPr>
        <w:tc>
          <w:tcPr>
            <w:tcW w:w="3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456,827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473,258</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w w:val="97"/>
              </w:rPr>
              <w:t>1,754,677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1,757,216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28"/>
        </w:trPr>
        <w:tc>
          <w:tcPr>
            <w:tcW w:w="38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2026-03-18T05:19:44Z</dcterms:created>
  <dcterms:modified xsi:type="dcterms:W3CDTF">2026-03-18T05:19:44Z</dcterms:modified>
</cp:coreProperties>
</file>