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421-1_4seq1.xml.htm"/>
      <w:bookmarkStart w:id="1" w:name="kstm262242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Gaofei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8/F, QIHAO PLAZA, NO. 8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XINYUAN S. ROAD CHAOYANG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WEIBO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[HKEX: 9898]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2"/>
        <w:gridCol w:w="928"/>
        <w:gridCol w:w="795"/>
        <w:gridCol w:w="616"/>
        <w:gridCol w:w="348"/>
        <w:gridCol w:w="1025"/>
        <w:gridCol w:w="439"/>
        <w:gridCol w:w="607"/>
        <w:gridCol w:w="1149"/>
        <w:gridCol w:w="991"/>
        <w:gridCol w:w="124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374,791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731,836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374,791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374,791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TWIST PHOENIX LIMITED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TWIST PHOENIX LIMITED is a BVI registered account. The entire interest in TWIST PHOENIX LIMITED is held by a trust that was established by Mr. Gaofei Wang (as the settlor) for the benefit of Mr. Gaofei Wang and his family, with the trustee being TMF (CAYMAN) LTD. This Form 4 is intended to reflect the updated allocation of the ADSs owned by Mr. Wang directly and indirectly through TWIST PHOENIX LIMITED, without any acquisition or sale of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Wang Gaofei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0120" TargetMode="External"/><Relationship Id="rId5" Type="http://schemas.openxmlformats.org/officeDocument/2006/relationships/hyperlink" Target="http://www.sec.gov/cgi-bin/browse-edgar?action=getcompany&amp;CIK=0001595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673</Words>
  <Characters>3584</Characters>
  <CharactersWithSpaces>4180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