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61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1213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CHEN PEHONG</w:t>
              </w:r>
            </w:hyperlink>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WEIBO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00" w:type="dxa"/>
            <w:vAlign w:val="bottom"/>
            <w:gridSpan w:val="4"/>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05/16/2026</w:t>
            </w:r>
          </w:p>
        </w:tc>
        <w:tc>
          <w:tcPr>
            <w:tcW w:w="2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8/F, QIHAO PLAZA, NO. 8</w:t>
            </w:r>
          </w:p>
        </w:tc>
        <w:tc>
          <w:tcPr>
            <w:tcW w:w="146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XINYUAN S. ROAD CHAOYANG DISTRICT</w:t>
            </w: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BEIJING</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100027</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line="312" w:lineRule="exact"/>
              <w:rPr>
                <w:sz w:val="20"/>
                <w:szCs w:val="20"/>
                <w:color w:val="auto"/>
              </w:rPr>
            </w:pPr>
            <w:r>
              <w:rPr>
                <w:rFonts w:ascii="Times New Roman" w:cs="Times New Roman" w:eastAsia="Times New Roman" w:hAnsi="Times New Roman"/>
                <w:sz w:val="33"/>
                <w:szCs w:val="33"/>
                <w:color w:val="0000FF"/>
                <w:vertAlign w:val="subscript"/>
              </w:rPr>
              <w:t>ADS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05/16/2026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6,250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31,250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33"/>
                <w:szCs w:val="33"/>
                <w:color w:val="0000FF"/>
                <w:vertAlign w:val="subscript"/>
              </w:rPr>
              <w:t>ADS</w:t>
            </w:r>
            <w:r>
              <w:rPr>
                <w:rFonts w:ascii="Times New Roman" w:cs="Times New Roman" w:eastAsia="Times New Roman" w:hAnsi="Times New Roman"/>
                <w:sz w:val="11"/>
                <w:szCs w:val="11"/>
                <w:color w:val="008000"/>
              </w:rPr>
              <w:t>(1)</w:t>
            </w: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7"/>
                <w:szCs w:val="17"/>
                <w:color w:val="0000FF"/>
              </w:rPr>
              <w:t>141,376</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05/16/2026</w:t>
            </w:r>
          </w:p>
        </w:tc>
        <w:tc>
          <w:tcPr>
            <w:tcW w:w="108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6,250</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6,250</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40"/>
        <w:spacing w:after="0" w:line="229" w:lineRule="auto"/>
        <w:rPr>
          <w:sz w:val="20"/>
          <w:szCs w:val="20"/>
          <w:color w:val="auto"/>
        </w:rPr>
      </w:pPr>
      <w:r>
        <w:rPr>
          <w:rFonts w:ascii="Times New Roman" w:cs="Times New Roman" w:eastAsia="Times New Roman" w:hAnsi="Times New Roman"/>
          <w:sz w:val="13"/>
          <w:szCs w:val="13"/>
          <w:color w:val="0000FF"/>
        </w:rPr>
        <w:t>US$</w:t>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3"/>
          <w:szCs w:val="13"/>
          <w:color w:val="0000FF"/>
        </w:rPr>
        <w:t>0.00025</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represents one Class A ordinary share.</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Chen Family Trust that is established by Mr. Pehong Chen (as the settlor) for the benefit of Mr. Pehong Chen and his family, with the trustee being with Pehong Chen and Adele W Chi Trustees.</w:t>
      </w:r>
    </w:p>
    <w:p>
      <w:pPr>
        <w:spacing w:after="0" w:line="1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shares granted to the reporting person pursuant to the issuer's share incentive plans. Each restricted share represents the contingent right to receive one (1) Class A ordinary share of issuer upon vesting.</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shares vested on May 16,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shares do not have an expiration date.</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Chen Pehong</w:t>
            </w:r>
          </w:p>
        </w:tc>
        <w:tc>
          <w:tcPr>
            <w:tcW w:w="10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05/19/2026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32250" TargetMode="External"/><Relationship Id="rId14" Type="http://schemas.openxmlformats.org/officeDocument/2006/relationships/hyperlink" Target="http://www.sec.gov/cgi-bin/browse-edgar?action=getcompany&amp;CIK=00015957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2026-05-19T05:30:09Z</dcterms:created>
  <dcterms:modified xsi:type="dcterms:W3CDTF">2026-05-19T05:30:09Z</dcterms:modified>
</cp:coreProperties>
</file>