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368935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11" w:lineRule="exact"/>
        <w:rPr>
          <w:sz w:val="24"/>
          <w:szCs w:val="24"/>
          <w:color w:val="auto"/>
        </w:rPr>
      </w:pPr>
    </w:p>
    <w:p>
      <w:pPr>
        <w:jc w:val="center"/>
        <w:ind w:left="5020" w:right="900" w:hanging="4850"/>
        <w:spacing w:after="0" w:line="444" w:lineRule="auto"/>
        <w:tabs>
          <w:tab w:leader="none" w:pos="49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35" w:lineRule="exact"/>
        <w:rPr>
          <w:sz w:val="24"/>
          <w:szCs w:val="24"/>
          <w:color w:val="auto"/>
        </w:rPr>
      </w:pPr>
    </w:p>
    <w:p>
      <w:pPr>
        <w:ind w:left="500" w:right="1800" w:hanging="330"/>
        <w:spacing w:after="0" w:line="283" w:lineRule="auto"/>
        <w:tabs>
          <w:tab w:leader="none" w:pos="5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5020" w:right="1460" w:hanging="4850"/>
        <w:spacing w:after="0" w:line="400" w:lineRule="auto"/>
        <w:tabs>
          <w:tab w:leader="none" w:pos="498"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34" w:lineRule="exact"/>
        <w:rPr>
          <w:rFonts w:ascii="MS PGothic" w:cs="MS PGothic" w:eastAsia="MS PGothic" w:hAnsi="MS PGothic"/>
          <w:sz w:val="16"/>
          <w:szCs w:val="16"/>
          <w:color w:val="auto"/>
          <w:highlight w:val="black"/>
        </w:rPr>
      </w:pPr>
    </w:p>
    <w:p>
      <w:pPr>
        <w:ind w:left="3500" w:right="1080" w:hanging="3330"/>
        <w:spacing w:after="0" w:line="369" w:lineRule="auto"/>
        <w:tabs>
          <w:tab w:leader="none" w:pos="497"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SHELL COMPANY REPORT PURSUANT TO SECTION 13 OR 15(d) OF THE SECURITIES EXCHANGE ACT OF 1934 </w:t>
      </w:r>
      <w:r>
        <w:rPr>
          <w:rFonts w:ascii="Times New Roman" w:cs="Times New Roman" w:eastAsia="Times New Roman" w:hAnsi="Times New Roman"/>
          <w:sz w:val="16"/>
          <w:szCs w:val="16"/>
          <w:color w:val="auto"/>
        </w:rPr>
        <w:t>Date of event requiring this shell company report</w:t>
      </w:r>
    </w:p>
    <w:p>
      <w:pPr>
        <w:spacing w:after="0" w:line="1" w:lineRule="exact"/>
        <w:rPr>
          <w:sz w:val="24"/>
          <w:szCs w:val="24"/>
          <w:color w:val="auto"/>
        </w:rPr>
      </w:pPr>
    </w:p>
    <w:p>
      <w:pPr>
        <w:ind w:left="340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3515995</wp:posOffset>
            </wp:positionH>
            <wp:positionV relativeFrom="paragraph">
              <wp:posOffset>-3175</wp:posOffset>
            </wp:positionV>
            <wp:extent cx="805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001-36397</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WEIBO CORPORATION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8/F, QIHAO Plaza, No. 8 Xinyuan S. Road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Chaoyang District, Beijing 100027</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Fei Cao, Chief Financial Officer</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Phone: +8610 5898-3095</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Facsimile: +86 10 8260-8888</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8/F, QIHAO Plaza, No. 8 Xinyuan S. Road, Chaoyang District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Beijing 100027, People’s Republic of China</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69"/>
        </w:trPr>
        <w:tc>
          <w:tcPr>
            <w:tcW w:w="40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rPr>
              <w:t>American depositary shares, each representing one Class A</w:t>
            </w:r>
          </w:p>
        </w:tc>
        <w:tc>
          <w:tcPr>
            <w:tcW w:w="360" w:type="dxa"/>
            <w:vAlign w:val="bottom"/>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rPr>
              <w:t>WB</w:t>
            </w:r>
          </w:p>
        </w:tc>
        <w:tc>
          <w:tcPr>
            <w:tcW w:w="240" w:type="dxa"/>
            <w:vAlign w:val="bottom"/>
          </w:tcPr>
          <w:p>
            <w:pPr>
              <w:spacing w:after="0"/>
              <w:rPr>
                <w:sz w:val="14"/>
                <w:szCs w:val="14"/>
                <w:color w:val="auto"/>
              </w:rPr>
            </w:pPr>
          </w:p>
        </w:tc>
        <w:tc>
          <w:tcPr>
            <w:tcW w:w="39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ordinary share</w:t>
            </w: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0"/>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ordinary shares, par value US$0.00025 per share</w:t>
            </w:r>
          </w:p>
        </w:tc>
        <w:tc>
          <w:tcPr>
            <w:tcW w:w="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9898</w:t>
            </w:r>
          </w:p>
        </w:tc>
        <w:tc>
          <w:tcPr>
            <w:tcW w:w="2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Stock Exchange of Hong Kong Limited</w:t>
            </w:r>
          </w:p>
        </w:tc>
      </w:tr>
    </w:tbl>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(Title of Class)</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82"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273"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December 31, 2025, there were 245,549,858 ordinary shares outstanding, par value US$0.00025 per share, being the sum of 157,727,834 Class A ordinary shares and 87,822,024 Class B ordinary shares.</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7" w:lineRule="exact"/>
        <w:rPr>
          <w:sz w:val="24"/>
          <w:szCs w:val="24"/>
          <w:color w:val="auto"/>
        </w:rPr>
      </w:pPr>
    </w:p>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407035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937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9" w:lineRule="exact"/>
        <w:rPr>
          <w:sz w:val="20"/>
          <w:szCs w:val="20"/>
          <w:color w:val="auto"/>
        </w:rPr>
      </w:pPr>
    </w:p>
    <w:p>
      <w:pPr>
        <w:jc w:val="both"/>
        <w:ind w:left="10" w:right="20"/>
        <w:spacing w:after="0" w:line="293" w:lineRule="auto"/>
        <w:rPr>
          <w:sz w:val="20"/>
          <w:szCs w:val="20"/>
          <w:color w:val="auto"/>
        </w:rPr>
      </w:pPr>
      <w:r>
        <w:rPr>
          <w:rFonts w:ascii="Times New Roman" w:cs="Times New Roman" w:eastAsia="Times New Roman" w:hAnsi="Times New Roman"/>
          <w:sz w:val="16"/>
          <w:szCs w:val="16"/>
          <w:color w:val="auto"/>
        </w:rPr>
        <w:t>Note</w:t>
      </w:r>
      <w:r>
        <w:rPr>
          <w:rFonts w:ascii="Cambria" w:cs="Cambria" w:eastAsia="Cambria" w:hAnsi="Cambria"/>
          <w:sz w:val="16"/>
          <w:szCs w:val="16"/>
          <w:b w:val="1"/>
          <w:bCs w:val="1"/>
          <w:color w:val="auto"/>
        </w:rPr>
        <w:t>—</w:t>
      </w:r>
      <w:r>
        <w:rPr>
          <w:rFonts w:ascii="Times New Roman" w:cs="Times New Roman" w:eastAsia="Times New Roman" w:hAnsi="Times New Roman"/>
          <w:sz w:val="16"/>
          <w:szCs w:val="16"/>
          <w:color w:val="auto"/>
        </w:rPr>
        <w:t>Checking the box above will not relieve any registrant required to file reports pursuant to Section 13 or 15(d) of the Securities Exchange Act of 1934 from their obligations under those Sections.</w:t>
      </w:r>
    </w:p>
    <w:p>
      <w:pPr>
        <w:spacing w:after="0" w:line="32" w:lineRule="exact"/>
        <w:rPr>
          <w:sz w:val="20"/>
          <w:szCs w:val="20"/>
          <w:color w:val="auto"/>
        </w:rPr>
      </w:pPr>
    </w:p>
    <w:p>
      <w:pPr>
        <w:jc w:val="both"/>
        <w:ind w:left="10"/>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937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9" w:lineRule="exact"/>
        <w:rPr>
          <w:sz w:val="20"/>
          <w:szCs w:val="20"/>
          <w:color w:val="auto"/>
        </w:rPr>
      </w:pPr>
    </w:p>
    <w:p>
      <w:pPr>
        <w:jc w:val="both"/>
        <w:ind w:left="1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937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9" w:lineRule="exact"/>
        <w:rPr>
          <w:sz w:val="20"/>
          <w:szCs w:val="20"/>
          <w:color w:val="auto"/>
        </w:rPr>
      </w:pPr>
    </w:p>
    <w:p>
      <w:pPr>
        <w:jc w:val="both"/>
        <w:ind w:left="10"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7" w:lineRule="exact"/>
        <w:rPr>
          <w:sz w:val="20"/>
          <w:szCs w:val="20"/>
          <w:color w:val="auto"/>
        </w:rPr>
      </w:pPr>
    </w:p>
    <w:p>
      <w:pPr>
        <w:ind w:left="510"/>
        <w:spacing w:after="0" w:line="184" w:lineRule="exact"/>
        <w:tabs>
          <w:tab w:leader="none" w:pos="3130" w:val="left"/>
          <w:tab w:leader="none" w:pos="5390" w:val="left"/>
          <w:tab w:leader="none" w:pos="785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0"/>
          <w:szCs w:val="20"/>
          <w:color w:val="auto"/>
        </w:rPr>
      </w:pPr>
    </w:p>
    <w:p>
      <w:pPr>
        <w:jc w:val="both"/>
        <w:ind w:left="1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4" w:lineRule="exact"/>
        <w:rPr>
          <w:sz w:val="20"/>
          <w:szCs w:val="20"/>
          <w:color w:val="auto"/>
        </w:rPr>
      </w:pPr>
    </w:p>
    <w:p>
      <w:pPr>
        <w:ind w:left="330" w:hanging="330"/>
        <w:spacing w:after="0" w:line="280" w:lineRule="auto"/>
        <w:tabs>
          <w:tab w:leader="none" w:pos="3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43" w:lineRule="exact"/>
        <w:rPr>
          <w:sz w:val="20"/>
          <w:szCs w:val="20"/>
          <w:color w:val="auto"/>
        </w:rPr>
      </w:pPr>
    </w:p>
    <w:p>
      <w:pPr>
        <w:jc w:val="both"/>
        <w:ind w:left="10"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ind w:left="10" w:right="4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0"/>
          <w:szCs w:val="20"/>
          <w:color w:val="auto"/>
        </w:rPr>
      </w:pPr>
    </w:p>
    <w:p>
      <w:pPr>
        <w:ind w:left="1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0230"/>
          </w:cols>
          <w:pgMar w:left="830" w:top="513" w:right="839" w:bottom="1440" w:gutter="0" w:footer="0" w:header="0"/>
        </w:sectPr>
      </w:pPr>
    </w:p>
    <w:p>
      <w:pPr>
        <w:spacing w:after="0" w:line="64" w:lineRule="exact"/>
        <w:rPr>
          <w:sz w:val="20"/>
          <w:szCs w:val="20"/>
          <w:color w:val="auto"/>
        </w:rPr>
      </w:pPr>
    </w:p>
    <w:p>
      <w:pPr>
        <w:ind w:left="95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960" w:hanging="44"/>
        <w:spacing w:after="0" w:line="213"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36" w:lineRule="exact"/>
        <w:rPr>
          <w:sz w:val="20"/>
          <w:szCs w:val="20"/>
          <w:color w:val="auto"/>
        </w:rPr>
      </w:pPr>
    </w:p>
    <w:p>
      <w:pPr>
        <w:sectPr>
          <w:pgSz w:w="11900" w:h="16838" w:orient="portrait"/>
          <w:cols w:equalWidth="0" w:num="3">
            <w:col w:w="2690" w:space="720"/>
            <w:col w:w="4380" w:space="720"/>
            <w:col w:w="1720"/>
          </w:cols>
          <w:pgMar w:left="830" w:top="513" w:right="839" w:bottom="1440" w:gutter="0" w:footer="0" w:header="0"/>
          <w:type w:val="continuous"/>
        </w:sectPr>
      </w:pPr>
    </w:p>
    <w:p>
      <w:pPr>
        <w:ind w:left="8810" w:hanging="8810"/>
        <w:spacing w:after="0" w:line="220" w:lineRule="exact"/>
        <w:rPr>
          <w:sz w:val="20"/>
          <w:szCs w:val="20"/>
          <w:color w:val="auto"/>
        </w:rPr>
      </w:pPr>
      <w:r>
        <w:rPr>
          <w:rFonts w:ascii="Times New Roman" w:cs="Times New Roman" w:eastAsia="Times New Roman" w:hAnsi="Times New Roman"/>
          <w:sz w:val="15"/>
          <w:szCs w:val="15"/>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 </w:t>
      </w:r>
      <w:r>
        <w:rPr>
          <w:rFonts w:ascii="MS PGothic" w:cs="MS PGothic" w:eastAsia="MS PGothic" w:hAnsi="MS PGothic"/>
          <w:sz w:val="15"/>
          <w:szCs w:val="15"/>
          <w:color w:val="auto"/>
        </w:rPr>
        <w:t>☐</w:t>
      </w:r>
    </w:p>
    <w:p>
      <w:pPr>
        <w:spacing w:after="0" w:line="1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7" w:lineRule="exact"/>
        <w:rPr>
          <w:sz w:val="20"/>
          <w:szCs w:val="20"/>
          <w:color w:val="auto"/>
        </w:rPr>
      </w:pPr>
    </w:p>
    <w:p>
      <w:pPr>
        <w:ind w:left="937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00" w:lineRule="exact"/>
        <w:rPr>
          <w:sz w:val="20"/>
          <w:szCs w:val="20"/>
          <w:color w:val="auto"/>
        </w:rPr>
      </w:pPr>
    </w:p>
    <w:p>
      <w:pPr>
        <w:ind w:left="1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7" w:lineRule="exact"/>
        <w:rPr>
          <w:sz w:val="20"/>
          <w:szCs w:val="20"/>
          <w:color w:val="auto"/>
        </w:rPr>
      </w:pPr>
    </w:p>
    <w:p>
      <w:pPr>
        <w:ind w:left="937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633730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136525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187960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513" w:right="8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1"/>
              </w:rPr>
              <w:t>Table of Contents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77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gridSpan w:val="13"/>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20" w:type="dxa"/>
            <w:vAlign w:val="bottom"/>
          </w:tcPr>
          <w:p>
            <w:pPr>
              <w:spacing w:after="0"/>
              <w:rPr>
                <w:sz w:val="24"/>
                <w:szCs w:val="24"/>
                <w:color w:val="auto"/>
              </w:rPr>
            </w:pPr>
          </w:p>
        </w:tc>
      </w:tr>
      <w:tr>
        <w:trPr>
          <w:trHeight w:val="391"/>
        </w:trPr>
        <w:tc>
          <w:tcPr>
            <w:tcW w:w="12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26"/>
        </w:trPr>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60" w:type="dxa"/>
            <w:vAlign w:val="bottom"/>
            <w:gridSpan w:val="3"/>
          </w:tcPr>
          <w:p>
            <w:pPr>
              <w:spacing w:after="0"/>
              <w:rPr>
                <w:sz w:val="24"/>
                <w:szCs w:val="24"/>
                <w:color w:val="auto"/>
              </w:rPr>
            </w:pPr>
          </w:p>
        </w:tc>
        <w:tc>
          <w:tcPr>
            <w:tcW w:w="708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4A.</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160" w:type="dxa"/>
            <w:vAlign w:val="bottom"/>
            <w:gridSpan w:val="3"/>
          </w:tcPr>
          <w:p>
            <w:pPr>
              <w:spacing w:after="0"/>
              <w:rPr>
                <w:sz w:val="17"/>
                <w:szCs w:val="17"/>
                <w:color w:val="auto"/>
              </w:rPr>
            </w:pP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426"/>
        </w:trPr>
        <w:tc>
          <w:tcPr>
            <w:tcW w:w="5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60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425"/>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13.</w:t>
            </w:r>
          </w:p>
        </w:tc>
        <w:tc>
          <w:tcPr>
            <w:tcW w:w="708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16A.</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16B.</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16C.</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16D.</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16E.</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16F.</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16G.</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16H.</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16I.</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3160" w:type="dxa"/>
            <w:vAlign w:val="bottom"/>
            <w:tcBorders>
              <w:left w:val="single" w:sz="8" w:color="0000EE"/>
            </w:tcBorders>
            <w:gridSpan w:val="12"/>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16J.</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524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16K.</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425"/>
        </w:trPr>
        <w:tc>
          <w:tcPr>
            <w:tcW w:w="5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III</w:t>
            </w:r>
          </w:p>
        </w:tc>
        <w:tc>
          <w:tcPr>
            <w:tcW w:w="680" w:type="dxa"/>
            <w:vAlign w:val="bottom"/>
            <w:tcBorders>
              <w:top w:val="single" w:sz="8" w:color="0000EE"/>
            </w:tcBorders>
            <w:gridSpan w:val="4"/>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425"/>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17.</w:t>
            </w:r>
          </w:p>
        </w:tc>
        <w:tc>
          <w:tcPr>
            <w:tcW w:w="708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0000EE"/>
              </w:rPr>
              <w:t>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60" w:type="dxa"/>
            <w:vAlign w:val="bottom"/>
            <w:gridSpan w:val="1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460" w:type="dxa"/>
            <w:vAlign w:val="bottom"/>
            <w:gridSpan w:val="1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08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all discrepancies in any table between the amounts identified as total amounts and the sum of the amounts listed herein are due to rounding, and references in this annual report on Form 20-F to:</w:t>
      </w:r>
    </w:p>
    <w:p>
      <w:pPr>
        <w:spacing w:after="0" w:line="183" w:lineRule="exact"/>
        <w:rPr>
          <w:sz w:val="20"/>
          <w:szCs w:val="20"/>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or “our” are to Weibo Corporation, a Cayman Islands company, its subsidiaries, and, in the context of describing its operations and consolidated financial information, the VIEs and the VIEs’ direct and indirect subsidiaries;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“Weibo” are to our social media platform and the products and services that we provide to users, customers and platform partners through that platform;</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“SINA” are to Sina Corporation, our parent company and controlling shareholder;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are to the People’s Republic of China;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our American depositary shares. Each ADS represents one Class A ordinary share;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Class A ordinary shares of the share capital of our Company with a par value of US$0.00025 each, conferring a holder of a Class A ordinary share one vote per share on any resolution tabled at our Company’s general meeting;</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Class B ordinary shares of the share capital of our Company with a par value of US$0.00025 each, conferring weighted voting rights in our Company such that a holder of a Class B ordinary share is entitled to three votes per share on any resolution tabled at our Company’s general meeting;</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China Securities Regulatory Commission;</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“DAUs” are to daily active users, which are Weibo users who logged on with a unique Weibo ID and accessed Weibo through our website, mobile website, desktop or mobile applications, SMS or connections via our platform partners’ websites or applications that are integrated with Weibo, on a given day, and “average DAUs” for a month refers to the average of the DAUs for each day during the month. The numbers of our DAUs are calculated using internal company data that has not been independently verified and we treat each account as a separate user for purposes of calculating DAUs, although it is possible that certain individuals or organizations may have set up on more than one account and certain accounts are used by multiple individuals within an organization;</w:t>
      </w:r>
    </w:p>
    <w:p>
      <w:pPr>
        <w:spacing w:after="0" w:line="18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“feeds” include both posts and reposts;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“Hong Kong dollars” or “HK dollars” are to Hong Kong dollars, the lawful currency of Hong Kong;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“HK” or “Hong Kong S.A.R.” are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or supplemented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Share Registrar” are to Computershare Hong Kong Investor Services Limited;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are to The Stock Exchange of Hong Kong Limited;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are to monthly active users, which are Weibo users who logged on with a unique Weibo ID and accessed Weibo through our website, mobile website, desktop or mobile applications, SMS or connections via our platform partners’ websites or applications that are integrated with Weibo, during a given calendar month. The numbers of our MAUs are calculated using internal company data that has not been independently verified, and we treat each account as a separate user for purposes of calculating MAUs, although it is possible that certain individuals or organizations may have set up on more than one account and certain accounts are used by multiple individuals within an organization;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“SFO” or “Securities and Futures Ordinance” are to the Securities and Futures Ordinance (Chapter 571 of the Laws of Hong Kong), as amended or supplemented from time to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our Class A and Class B ordinary shares, par value US$0.00025 per share;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content creators” are to content creators with more than 10,000 followers as of the end of a given month, or 10,000 monthly views on Weibo in a given month, excluding duplicates;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or “variable interest entities” are to entities including Beijing Weimeng Technology Co., Ltd., or Weimeng, and Beijing Weimeng Chuangke Investment Management Co., Ltd., or Weimeng Chuangke, all of which are domestic PRC companies in which we do not have equity interests but whose financial results have been consolidated into our consolidated financial statements in accordance with U.S. GAAP;</w:t>
      </w:r>
    </w:p>
    <w:p>
      <w:pPr>
        <w:spacing w:after="0" w:line="18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generally accepted accounting principles in the United States;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“RMB” or “Renminbi” are to the legal currency of China, and all references to “dollars,” “US$” and “U.S. dollars” are to the legal currency of the United States. Unless otherwise noted, all translations from RMB to U.S. dollars and from U.S. dollars to RMB in this annual report were made at a rate of RMB6.9931 to US$1.00, the exchange rate on December 31, 2025 as set forth in the H.10 statistical release published by the Federal Reserve Board.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“could,” “will,” “should,” “would,”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7"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investments in our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users and customers and generate revenue and profit from our customers;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attract new talent;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social media, social networking, online marketing, and other businesses in which we engage;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ongoing or any future litigations or arbitrations, including those relating to intellectual property rights;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social media, internet and mobile users and internet and mobile advertising in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policies relating to media, the internet, internet content providers and online advertising, and the implementation of a corporate structure involving VIEs in China;</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mainland China;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“Item 3. Key Information—D. 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thoroughly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 and Their Respective Individual Shareholders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Weibo Corporation is not an operating company in China, but a Cayman Islands holding company with no equity ownership in the VIEs. We conduct our operations in China through our PRC subsidiaries and the VIEs with which we have maintained contractual arrangements and their subsidiaries in China. PRC laws and regulations impose certain restrictions or prohibitions on foreign ownership of companies that engage in internet and other related businesses, including the provision of internet content and online game operations. Accordingly, we operate these businesses in China through the VIEs, and rely on contractual arrangements among our PRC subsidiaries, the VIEs and their shareholders to control the business operations of the VIEs. Revenues contributed by the VIEs and their subsidiaries accounted for 87.0%, 86.2% and 85.9% of our total revenues for the years of 2023, 2024 and 2025, respectively. As used in this annual report, “we,” “us,” “our company,” or “our” refers to Weibo Corporation, a Cayman Islands company, its subsidiaries, and, in the context of describing its operations and consolidated financial information, the VIEs and the VIEs’ direct and indirect subsidiaries, including, but not limited to, Weimeng, Weimeng Chuangke and their direct and indirect subsidiaries. Investors of our Class A ordinary shares or ADSs are not purchasing equity interest in our operating entities in China but instead are purchasing equity interest in a Cayman Islands holding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major subsidiaries and the VIEs,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105410</wp:posOffset>
            </wp:positionV>
            <wp:extent cx="5614670" cy="427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4670" cy="427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340" w:right="20" w:hanging="332"/>
        <w:spacing w:after="0" w:line="27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Weimeng are four PRC employees of us or SINA, namely, Yunli Liu, Wei Wang, Wei Zheng and Zenghui Cao, holding 29.70%, 29.70%, 19.80% and 19.80% of Weimeng’s equity interests, respectively, and WangTouTongDa (Beijing) Technology Co., Ltd., a third-party minority stake holder, holding 1% of Weimeng’s equity interest. See also “Item 4. Information on the Company—C. Organizational Structure—Minority Investment in Weimeng.”</w:t>
      </w:r>
    </w:p>
    <w:p>
      <w:pPr>
        <w:spacing w:after="0" w:line="183" w:lineRule="exact"/>
        <w:rPr>
          <w:rFonts w:ascii="Times New Roman" w:cs="Times New Roman" w:eastAsia="Times New Roman" w:hAnsi="Times New Roman"/>
          <w:sz w:val="14"/>
          <w:szCs w:val="14"/>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Weimeng Chuangke are two PRC employees of us or SINA, namely, Yunli Liu and Wei Wang, holding 50% and 50% of Weimeng Chuangke’s equity interests, respectively.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series of contractual agreements, including loan agreements, share transfer agreements, loan repayment agreements, agreement on authorization to exercise shareholder’s voting power, share pledge agreements, exclusive technical services agreement, exclusive sales agency agreement, trademark license agreement, and spousal consent letters, have been entered into by and among our PRC subsidiaries, the VIEs and their respective shareholders. Terms contained in each set of contractual arrangements with our PRC subsidiaries, the VIEs and their respective shareholders are substantially similar. For more details of these contractual arrangements, see “Item 4. Information on the Company—C. Organizational Structure—Contractual Arrangements with the VIEs and Their Respective Individual Shareholders.”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contractual arrangements may not be as effective as direct ownership in providing us with control over the VIEs. If any of these VIEs or their shareholders fail to perform their respective obligations under the contractual arrangements, we may incur substantial costs to enforce the terms of the arrangements. All of these contractual arrangements are governed by and interpreted in accordance with PRC law, and disputes arising from these contractual arrangements will be resolved through arbitration in China. There remain significant uncertainties regarding the ultimate outcome of arbitration should legal action become necessary. These uncertainties could limit our ability to enforce these contractual arrangements. Furthermore, the shareholders of the VIEs may not act in the best interests of our company or may not perform their obligations under these contracts. See “Item 3. Key Information—D. Risk Factors—Risks Relating to Our Corporate Structure—We rely on contractual arrangements with the VIEs and their respective shareholders for our operations in China, which may not be as effective in providing operational control as direct ownership” and “Item 3. Key Information— D. Risk Factors—Risks Relating to Our Corporate Structure—Shareholders of the VIEs may have potential conflicts of interest with us, which may affect the performance of the contractual arrangements with the VIEs and their respective shareholders, which may in turn materially and adversely affect our business and financial condition.”</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VIEs. Our contractual arrangements with the VIEs have not been tested in court to date. Investors may never directly hold equity interests in the VIEs. If the PRC government determines that the contractual arrangements constituting part of the VIE structure do not comply with PRC laws and regulations, or if these regulations or their interpretations change in the future, we could be subject to severe penalties or be forced to relinquish our interests in those operations. The PRC regulatory authorities could disallow the VIE structure, which would likely result in a material adverse change in our operations, and our ADSs and/or Class A ordinary shares may decline significantly in value or become worthless.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w:t>
      </w:r>
    </w:p>
    <w:p>
      <w:pPr>
        <w:spacing w:after="0" w:line="1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respective shareholders. It is uncertain whether any new PRC laws or regulations relating to variable interest entity structures will be adopted or if adopted, what they would provide. If we or any of the VIEs is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 Risks Relating to Our Corporate Structure—If the PRC government determines that the contractual arrangements constituting part of the VIE structure do not comply with PRC regulations on foreign investment in internet and other related businesses, or if these regulations or their interpretation change in the future, we could be subject to severe penalties or be forced to relinquish our interests in those operations,” and “—Uncertainties exist with respect to the interpretation and implementation of the PRC Foreign Investment Law and how it may impact the viability of our current corporate structure, corporate governance and business operations.”</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the VIEs, anti-monopoly regulatory actions, and oversight on cybersecurity and data privacy, which may impact our ability to conduct certain businesses, accept foreign investments, or list on or remain listed on United States or other foreign exchanges outside of China.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related to doing business in China, see “Item 3. Key Information—D. Risk Factors—Risks Relating to Doing Business in China.”</w:t>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 of little or no value. For more details, see “Item 3. Key Information—D. Risk Factors—Risks Relating to Doing Business in China—The PRC government’s significant oversight and discretion over our business operation could result in a material adverse change in our operations and the value of our listed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The PRC regulatory and enforcement regime with regard to data security, data privacy and cybersecurity continues to evolve and may be subject to different interpretations or significant changes with very short notice. In the event that any new development requires us to change our business operations relevant to data security, data privacy or cybersecurity in general, we cannot assure you that we can comply with such new requirements in a timely manner or at all. For examples, in addition to the PRC Cyber Security Law, the PRC Data Security Law and the PRC Personal Information Protection Law, the Administrative Measures for Network Data Security promulgated in September 2024 posed additional challenges to our cybersecurity and data privacy compliance. The Measures for Cybersecurity Review promulgated in December 2021 imposed potential additional restrictions on China-based overseas-listed companies like us. If the Measures for Cybersecurity Review mandate clearance of cybersecurity review and other specific actions to be taken by issuers like us, we may fail to complete these additional procedures, which may subject us to government enforcement actions and investigations, fines, penalties, or suspension of our non-compliant operations, and materially and adversely affect our business and results of operations and the price of our ADSs and/or Class A ordinary shares. The Outbound Data Transfer Security Assessment Measures, with effect from September 1, 2022, require a data processor to apply for security assessment with the Cyberspace Administration of China before providing important data or personal information to overseas recipients under certain circumstances and the Personal Information Outbound Transfer Standard Contract Measures, with effect from June 1, 2023, provide that a personal information processor who provides personal information to overseas recipients through execution of standard contract with such overseas recipient shall meet certain criteria, conduct a personal information protection impact assessment before providing any personal information to an overseas recipient, and complete the filing with local cybersecurity authority within ten working days from the effective date of the standard contract. The Provisions on Promoting and Regulating Cross-border Data Flows require following types of cross-border data transfers to go through security assessments, (i) for critical information infrastructure operators, the outbound transfer of personal information or important data, and (ii) for data processors that are not critical information infrastructure operators, the outbound transfer of important data or the outbound transfer of personal information of over one million people or sensitive personal information of over 10,000 people in aggregate since January 1 of the relevant year. In addition, the amended PRC Cyber Security Law, which takes effect on January 1, 2026, increases compliance requirements for critical information infrastructure operators and strengthens penalties. See “Item 3. Key Information—D. Risk Factors—Risks Relating to Our Business—Privacy concerns relating to our products and services and the use of user information could damage our reputation, deter current and potential users and customers from using Weibo and negatively impact our business.”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Offerings and Listings by Domestic Companies, with effect from March 31, 2023, and five supporting guidelines. These measures establish a filing - based regime to regulate overseas offerings and listings by domestic companies. Any securities offerings and listings outside of mainland China by our company, including, but not limited to, follow-on offerings, issuance of convertible corporate bonds and exchangeable bonds, and other equivalent offering activities, either directly or indirectly, will be subject to the filing requirements with CSRC. See “Item 3. Key Information—D. Risk Factors—Risks Relating to Doing Business in China—The approval of or the filing with the CSRC or other PRC government authorities may be required in connection with our future offshore listings and capital raising activities under PRC law, and, if required, we cannot predict whether or for how long we will be able to obtain such approval or filing.” We have completed the filing with the CSRC within the period as required under these measures following the completion of the offering of our 1.375% convertible senior notes due 2030, or the 2030 Convertible Notes.</w:t>
      </w:r>
    </w:p>
    <w:p>
      <w:pPr>
        <w:spacing w:after="0" w:line="171"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Furthermore, PRC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monopoly and competition regulators have in recent years strengthened the regulatory framework and enforcement through amendments to and the promulgation of new laws and regulations, including PRC Anti-Monopoly Law, with effect from August 1, 2022, four implementing rules for the new Anti-Monopoly Law, with effect from April 15, 2023, the Supreme People’s Court’s s Interpretation on Several Issues Concerning the Application of the PRC Anti-Unfair Competition Law, with effect from March 20, 2022, the new merger control filing thresholds promulgated by the State Council, with effect from January 22, 2024, and the Interim Measures on Online Anti-unfair Competition with effect from September 1, 2024, and strengthened the enforcement under these laws and regulations. On June 27, 2025, the Standing Committee of the National People’s Congress adopted the amendment to the Anti-unfair Competition Law with effect from October 15, 2025. On December 9, 2025, the State Administration for Market Regulation adopted the amendment to the Provisions on the Prohibition of Monopoly Agreements with effect from February 1, 2026. In addition, on January 28, 2026, the State Administration for Market Regulation released the Antitrust Compliance Guidelines for Internet Platform Operators which took effect upon release. There remain uncertainties as to how the laws, regulations and guidelines promulgated in recent years will be implemented and whether these laws, regulations and guidelines will have a material impact on our business, financial condition, results of operations and prospects. We cannot assure you that our business operations comply with these regulations and authorities’ requirements in all respects. If any non-compliance is raised by authorities and determined against us, we may be subject to fines and other penalties.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See “Item 3. Key Information—D. Risk Factors—Risks Relating to Doing Business in China—Any failure or perceived failure by us to comply with the Anti-Monopoly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risks could result in a material adverse change in our operations and the value of our ADSs and/or Class A ordinary shares, significantly limit or completely hinder our ability to continue to offer securities to investors, or cause the value of these securities to significantly decline or be worthless. For a detailed description of risks related to doing business in China, see “Item 3. Key Information—D. Risk Factors—Risks Relating to Doing Business in China.”</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Information—D. Risk Factors— Risks Relating to Doing Business in China—Uncertainties in the interpretation and enforcement of PRC laws and regulations could limit the legal protections available to you and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the VIEs and their subsidiaries in China. Our operations in China are governed by PRC laws and regulations. As of the date of this annual report, the VIEs and their direct and indirect subsidiaries have obtained the requisite licenses and permits from the PRC government authorities that are material for the business operations of our holding company, our subsidiaries and the VIEs in China, including the Internet Content Provision License and Online Culture Operating Permit held by Weimeng. However, given the uncertainties of interpretation and implementation of the laws and regulations and the enforcement practice by government authorities, we cannot assure you that we have obtained all the permits or licenses required for conducting our business in China. For example, Weimeng is not qualified to obtain the internet audio/video program transmission license under the current legal regime as it is not a wholly state-owned or state-controlled company and it was not operating prior to the issuance of the Rules for the Administration of Internet Audio and Video Program Services, commonly known as Circular 56. Weimeng plans to apply for an internet audio/video program transmission license when feasible to do so. In addition, an internet publishing permit might be necessary for our provisions of online game related services and the contents generated by our users on our platform. Weimeng has been communicating with the regulator for the application of an internet publishing permit. Furthermore, although most of the games on our website have obtained approval from the National Press and Publication Administration certain games may not be able to obtain such approval due to the narrow interpretation of the scope of “game” adopted by the National Press and Publication Administration in practice. We may be required to obtain additional licenses, permits, filings or approvals for the functions and services of our platform in the future. If we, our subsidiaries or the VIEs do not receive or maintain any necessary permissions or approvals, inadvertently conclude that such permissions or approvals are not required, or if applicable laws, regulations, or interpretations change and we are required to obtain such permissions or approvals in the future, we cannot assure you that we will be able to obtain the necessary permissions or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such securities to significantly decline or be worthless. For more details, see “Item 3. Key Information—D. Risk Factors—Risks Relating to Doing Business in China—We may be adversely affected by the complexity, uncertainties and changes in PRC licensing and regulation of internet businesses.”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Trial Administrative Measures of Overseas Securities Offerings and Listings by Domestic Companies issued by the CSRC on February 17, 2023 and the five supporting guidelines, domestic companies in the PRC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these filing measures. Therefore, we are required to file with the CSRC for our overseas offering of equity and equity linked securities in the future within the applicable scope of these filing measures. For more detailed information, see “Item 3. Key Information—D. Risk Factors—Risks Relating to Doing Business in China—The approval of or the filing with the CSRC or other PRC government authorities may be required in connection with our future offshore listings and capital raising activities under PRC law, and, if required, we cannot predict whether or for how long we will be able to obtain such approval or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2022, the SEC conclusively listed us as a Commission-Identified Issuer under the HFCAA following the filing of our annual report on Form 20-F for the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2023 or 2024. As of the date of this annual report, the PCAOB has not issued any new determination that it is unable to inspect or investigate completely registered public accounting firms headquartered in any jurisdiction.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Weibo Corporation transfers cash to its wholly owned Hong Kong subsidiaries, by making capital contributions or providing loans, and the Hong Kong subsidiaries transfer cash to the subsidiaries in China by making capital contributions or providing loans to them. Because Weibo Corporation and its subsidiaries control the VIEs through contractual arrangements, they are not able to make direct capital contribution to the VIEs and their subsidiaries. However, they may transfer cash to the VIEs by loans or by making payment to the VIEs for inter-group transactions.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currently effective PRC laws and regulations, Weibo Corporation may provide funding to our PRC subsidiaries only through capital contributions or loans, and to the VIEs and the VIEs’ direct and indirect subsidiaries only through loans, subject to satisfaction of applicable government registration and approval requirements. We currently do not have cash management policies in place that dictate how funds are transferred between Weibo Corporation, our subsidiaries, and the VIEs. Rather, the funds can be transferred in accordance with the applicable PRC laws and regulations.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2024 and 2025, no assets other than cash were transferred through our organization.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the VIEs repaid debt financing of US$255.4 million, US$23.0 million to the WFOE, respectively. For the year ended December 31, 2025, the VIEs received US$37.6 million loan from the WFOE.</w:t>
      </w:r>
    </w:p>
    <w:p>
      <w:pPr>
        <w:spacing w:after="0" w:line="14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Weibo Corporation loaned an aggregate amount of US$402.1 million to its subsidiaries. For the years ended December 31, 2024 and 2025, Weibo Corporation received net cash of US$581.0 million and US$322.0 million from its subsidiaries, respectively.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the years ended December 31, 2023, 2024 and 2025, the WFOE loaned an aggregate amount of US$406.6 million, US$447.1 million and US$16.1 million to Weibo Hong Kong Limited, respectively. In the fourth quarter of 2023, the WFOE distributed cash dividend of US$406.1 million (in equivalent of RMB2.97 billion) to Weibo Hong Kong Limited, including withholding tax of US$20.5 million paid directly to the PRC tax authorities, based on partial of the accumulated net profits of the WFOE related to the years before 2023. In the fourth quarter of 2024, the WFOE distributed cash dividend of US$401.6 million (in equivalent of RMB2.93 billion) to Weibo Hong Kong Limited, including withholding tax of US$20.1 million paid directly to the PRC tax authorities, based on the net profits of the WFOE for the year of 2023. The distribution made by the WFOE to Weibo Hong Kong Limited is subject to a 5% withholding tax under the Enterprise Income Tax Law, due to the tax treaty arrangement between Mainland China and Hong Kong.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VIEs may transfer cash to the relevant WFOE by paying service fees according to the exclusive technical services agreement, exclusive sales agency agreement and trademark license agreement. For the years ended December 31, 2023, 2024 and 2025, the total amount of service fees that VIEs paid to the relevant WFOE under the exclusive technical services agreement, exclusive sales agency agreement and trademark license agreement was US$757.8 million, US$769.0 million and US$706.4 million, respectively.</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2023, 2024 and 2025, no dividends or distributions were made to Weibo Corporation by our subsidiaries. Under PRC laws and regulations, our PRC subsidiaries and VIEs are subject to certain restrictions with respect to paying dividends or otherwise transferring any of their net assets to us. Remittance of dividends by a wholly foreign-owned enterprise out of China is also subject to examination by the banks designated by SAFE. The amounts restricted include the paid-up capital and the statutory reserve funds of our PRC subsidiaries and VIEs, totaling US$567.2 million, US$575.5 million and US$728.3 million as of December 31, 2023, 2024 and 2025, respectively. Furthermore, cash transfers from our PRC subsidiaries to entities outside of China are subject to PRC government control of currency conversion. Shortages in the availability of foreign currency may temporarily delay the ability of our PRC subsidiaries and VIEs to remit sufficient foreign currency to pay dividends or other payments to us, or otherwise satisfy their foreign currency denominated obligations. For risks relating to the fund flows of our operations in China, see “Item 3. Key Information—D. Risk Factors—Risks Relating to Doing Business in China—Any limitation on the ability of our PRC subsidiaries to make payments to us, or the tax implications of making payments to us, could have a material adverse effect on our ability to conduct our business or our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In May 2023, our board of directors approved a special cash dividend of US$0.85 per ordinary share, or US$0.85 per ADS, to holders of the ordinary shares and ADSs of Weibo Corporation, as applicable, as of the close of business on June 26, 2023. In March 2024, the board of directors of Weibo Corporation approved a special cash dividend of US$0.82 per ordinary share, or US$0.82 per ADS, to holders of the ordinary shares and ADSs of Weibo Corporation, as applicable, as of the close of business on April 12, 2024. On March 12, 2025, we adopted a cash dividend policy. Under the policy, we may choose to declare and distribute a cash dividend each year in accordance with our memorandum and articles of association and applicable laws and regulations. Our board of directors has discretion as to whether to make dividend distributions and the amount of such distributions in any particular year, depending on our results of operations and earnings, cash flow, financial condition, capital requirements and other relevant considerations deemed relevant by our board of directors. In accordance with the dividend policy, on the same day, the board of directors of Weibo Corporation approved a cash dividend of US$0.82 per ordinary share, or US$0.82 per ADS, to holders of the ordinary shares and ADSs of Weibo Corporation, as applicable, as of the close of business on April 9, 2025. In March 2026, our board of directors approved an annual cash dividend for the year ended December 31, 2025 of US$0.61 per ordinary share, or US$0.61 per ADS, to holders of the ordinary shares and ADSs of Weibo Corporation, as applicable, as of the close of business on April 17, 2026. For the years ended December 31, 2023, 2024 and 2025, dividends made to Weibo Corporation’s shareholders were US$200.1 million, US$199.4 million and US$200.6 million, respectively. See also “Item 8. Financial Information—A. Consolidated Statements and Other Financial Information—Dividend Policy.” Under the current laws of the Cayman Islands, Weibo Corporation is not subject to tax on income or capital gains. Payments of dividends to its shareholders are not subject to any Cayman Islands withholding tax. For the Cayman Islands, PRC and U.S. federal income tax considerations applicable to an investment in our ADSs or Class A ordinary shares, see “Item 10. Additional Information—E. Taxation.” For purposes of illustration, the following discussion reflects the hypothetical taxes that might be required to be paid within China, assuming that: we have taxable earnings in the VIEs and the VIEs’ direct and indirect subsidiaries and we pay a dividend to shareholders of Weibo Corporation:</w:t>
      </w:r>
    </w:p>
    <w:p>
      <w:pPr>
        <w:spacing w:after="0" w:line="142" w:lineRule="exact"/>
        <w:rPr>
          <w:sz w:val="20"/>
          <w:szCs w:val="20"/>
          <w:color w:val="auto"/>
        </w:rPr>
      </w:pPr>
    </w:p>
    <w:p>
      <w:pPr>
        <w:ind w:left="8160"/>
        <w:spacing w:after="0"/>
        <w:tabs>
          <w:tab w:leader="none" w:pos="8440" w:val="left"/>
        </w:tabs>
        <w:rPr>
          <w:sz w:val="20"/>
          <w:szCs w:val="20"/>
          <w:color w:val="auto"/>
        </w:rPr>
      </w:pPr>
      <w:r>
        <w:rPr>
          <w:rFonts w:ascii="Times New Roman" w:cs="Times New Roman" w:eastAsia="Times New Roman" w:hAnsi="Times New Roman"/>
          <w:sz w:val="28"/>
          <w:szCs w:val="28"/>
          <w:b w:val="1"/>
          <w:bCs w:val="1"/>
          <w:color w:val="auto"/>
          <w:vertAlign w:val="superscript"/>
        </w:rPr>
        <w:t>​​​</w:t>
      </w:r>
      <w:r>
        <w:rPr>
          <w:sz w:val="20"/>
          <w:szCs w:val="20"/>
          <w:color w:val="auto"/>
        </w:rPr>
        <w:tab/>
      </w:r>
      <w:r>
        <w:rPr>
          <w:rFonts w:ascii="Times New Roman" w:cs="Times New Roman" w:eastAsia="Times New Roman" w:hAnsi="Times New Roman"/>
          <w:sz w:val="13"/>
          <w:szCs w:val="13"/>
          <w:b w:val="1"/>
          <w:bCs w:val="1"/>
          <w:color w:val="auto"/>
        </w:rPr>
        <w:t xml:space="preserve">Tax calculation </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184" w:lineRule="auto"/>
        <w:rPr>
          <w:sz w:val="20"/>
          <w:szCs w:val="20"/>
          <w:color w:val="auto"/>
        </w:rPr>
      </w:pPr>
      <w:r>
        <w:rPr>
          <w:rFonts w:ascii="Times New Roman" w:cs="Times New Roman" w:eastAsia="Times New Roman" w:hAnsi="Times New Roman"/>
          <w:sz w:val="18"/>
          <w:szCs w:val="18"/>
          <w:color w:val="auto"/>
        </w:rPr>
        <w:t>Hypothetical pre-tax earnings</w:t>
      </w:r>
      <w:r>
        <w:rPr>
          <w:rFonts w:ascii="Times New Roman" w:cs="Times New Roman" w:eastAsia="Times New Roman" w:hAnsi="Times New Roman"/>
          <w:sz w:val="26"/>
          <w:szCs w:val="26"/>
          <w:color w:val="auto"/>
          <w:vertAlign w:val="superscript"/>
        </w:rPr>
        <w:t>(2)</w:t>
      </w:r>
    </w:p>
    <w:p>
      <w:pPr>
        <w:spacing w:after="0" w:line="192" w:lineRule="auto"/>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p>
      <w:pPr>
        <w:spacing w:after="0" w:line="210" w:lineRule="auto"/>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1568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ind w:left="380" w:hanging="328"/>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30" w:lineRule="exact"/>
        <w:rPr>
          <w:rFonts w:ascii="Times New Roman" w:cs="Times New Roman" w:eastAsia="Times New Roman" w:hAnsi="Times New Roman"/>
          <w:sz w:val="16"/>
          <w:szCs w:val="16"/>
          <w:color w:val="auto"/>
        </w:rPr>
      </w:pPr>
    </w:p>
    <w:p>
      <w:pPr>
        <w:ind w:left="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(25)%</w:t>
      </w:r>
    </w:p>
    <w:p>
      <w:pPr>
        <w:spacing w:after="0" w:line="34" w:lineRule="exact"/>
        <w:rPr>
          <w:rFonts w:ascii="Times New Roman" w:cs="Times New Roman" w:eastAsia="Times New Roman" w:hAnsi="Times New Roman"/>
          <w:sz w:val="16"/>
          <w:szCs w:val="16"/>
          <w:color w:val="auto"/>
        </w:rPr>
      </w:pPr>
    </w:p>
    <w:p>
      <w:pPr>
        <w:ind w:left="380" w:hanging="238"/>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5"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(7.5)%</w:t>
      </w:r>
    </w:p>
    <w:p>
      <w:pPr>
        <w:spacing w:after="0" w:line="3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67.5 %</w:t>
      </w:r>
    </w:p>
    <w:p>
      <w:pPr>
        <w:spacing w:after="0" w:line="576" w:lineRule="exact"/>
        <w:rPr>
          <w:sz w:val="20"/>
          <w:szCs w:val="20"/>
          <w:color w:val="auto"/>
        </w:rPr>
      </w:pPr>
    </w:p>
    <w:p>
      <w:pPr>
        <w:sectPr>
          <w:pgSz w:w="11900" w:h="16838" w:orient="portrait"/>
          <w:cols w:equalWidth="0" w:num="2">
            <w:col w:w="8580" w:space="720"/>
            <w:col w:w="620"/>
          </w:cols>
          <w:pgMar w:left="980" w:top="513" w:right="999" w:bottom="1440" w:gutter="0" w:footer="0" w:header="0"/>
          <w:type w:val="continuous"/>
        </w:sectPr>
      </w:pPr>
    </w:p>
    <w:p>
      <w:pPr>
        <w:spacing w:after="0" w:line="17" w:lineRule="exact"/>
        <w:rPr>
          <w:sz w:val="20"/>
          <w:szCs w:val="20"/>
          <w:color w:val="auto"/>
        </w:rPr>
      </w:pPr>
    </w:p>
    <w:p>
      <w:pPr>
        <w:ind w:left="340" w:hanging="332"/>
        <w:spacing w:after="0" w:line="302"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example, the tax calculation has been simplified. The hypothetical book pre-tax earnings amount, not considering timing differences, is assumed to equal taxable income in China.</w:t>
      </w:r>
    </w:p>
    <w:p>
      <w:pPr>
        <w:spacing w:after="0" w:line="148"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VIE agreements, our PRC subsidiaries may charge the VIEs for services provided to VIEs. These service fees shall be recognized as expenses of the VIEs, with a corresponding amount as service income by our PRC subsidiaries and eliminated in consolidation. For income tax purposes, our PRC subsidiaries and VIEs file income tax returns on a separate company basis. The service fees paid are recognized as a tax deduction by the VIEs and as income by our PRC subsidiaries and are tax neutral.</w:t>
      </w:r>
    </w:p>
    <w:p>
      <w:pPr>
        <w:spacing w:after="0" w:line="185"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subsidiaries and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63"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Enterprise Income Tax Law imposes a withholding income tax of 10% on dividends distributed by a company in mainland China to its immediate holding company outside of China. A lower withholding income tax rate of 5% is applied if the immediate holding company is registered in Hong Kong or other jurisdictions that have a tax treaty arrangement with China and is not considered a PRC resident enterprise, subject to a qualification review at the time of the distribution. For purposes of this hypothetical example, the table above assumes a maximum tax scenario under which the full withholding tax would be applied.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PRC subsidiaries under tax neutral contractual arrangements. If, in the future, the accumulated earnings of the VIEs exceed the service fees paid to our PRC subsidiaries (or if the current and contemplated fee structure between the intercompany entities is determined to be non-substantive and disallowed by Chinese tax authorities), the VIEs could make a non-deductible transfer to our PRC subsidiaries for the amounts of the stranded cash in the VIEs. This would result in such transfer being non-deductible expenses for the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information for Weibo Corporation, its wholly owned subsidiary that is the primary beneficiary of the VIEs for accounting purpose only, namely, Weibo Technology, our other subsidiaries, the VIEs and the VIEs’ subsidiaries as of the dates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2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Corporation</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  ​​​</w:t>
            </w:r>
          </w:p>
        </w:tc>
        <w:tc>
          <w:tcPr>
            <w:tcW w:w="100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4"/>
                <w:szCs w:val="14"/>
                <w:b w:val="1"/>
                <w:bCs w:val="1"/>
                <w:color w:val="auto"/>
                <w:w w:val="96"/>
              </w:rPr>
              <w:t>VIEs</w:t>
            </w:r>
            <w:r>
              <w:rPr>
                <w:rFonts w:ascii="Times New Roman" w:cs="Times New Roman" w:eastAsia="Times New Roman" w:hAnsi="Times New Roman"/>
                <w:sz w:val="21"/>
                <w:szCs w:val="21"/>
                <w:b w:val="1"/>
                <w:bCs w:val="1"/>
                <w:color w:val="auto"/>
                <w:w w:val="96"/>
                <w:vertAlign w:val="superscript"/>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4"/>
                <w:szCs w:val="14"/>
                <w:color w:val="auto"/>
              </w:rPr>
              <w:t>​​​</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(In US$</w:t>
            </w:r>
          </w:p>
        </w:tc>
        <w:tc>
          <w:tcPr>
            <w:tcW w:w="106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revenues</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115,377</w:t>
            </w:r>
          </w:p>
        </w:tc>
        <w:tc>
          <w:tcPr>
            <w:tcW w:w="22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1,509,928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1,757,216</w:t>
            </w:r>
          </w:p>
        </w:tc>
        <w:tc>
          <w:tcPr>
            <w:tcW w:w="0" w:type="dxa"/>
            <w:vAlign w:val="bottom"/>
          </w:tcPr>
          <w:p>
            <w:pPr>
              <w:spacing w:after="0"/>
              <w:rPr>
                <w:sz w:val="1"/>
                <w:szCs w:val="1"/>
                <w:color w:val="auto"/>
              </w:rPr>
            </w:pPr>
          </w:p>
        </w:tc>
      </w:tr>
      <w:tr>
        <w:trPr>
          <w:trHeight w:val="229"/>
        </w:trPr>
        <w:tc>
          <w:tcPr>
            <w:tcW w:w="30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Intercompany revenue</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651,568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(666,982)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130,791</w:t>
            </w: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783,479</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1,509,928</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(666,982)</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1,757,216</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costs and expenses</w:t>
            </w: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666,982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and expenses</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(47,132)</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(95,509)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(727,131)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(1,292,391)</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(95,509)</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(1,385,131)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666,982</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(1,292,391)</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Share of income (loss) of subsidiaries</w:t>
            </w:r>
            <w:r>
              <w:rPr>
                <w:rFonts w:ascii="Times New Roman" w:cs="Times New Roman" w:eastAsia="Times New Roman" w:hAnsi="Times New Roman"/>
                <w:sz w:val="26"/>
                <w:szCs w:val="26"/>
                <w:color w:val="auto"/>
                <w:vertAlign w:val="superscript"/>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553,630</w:t>
            </w: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476,496</w:t>
            </w:r>
          </w:p>
        </w:tc>
        <w:tc>
          <w:tcPr>
            <w:tcW w:w="22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(1,030,126)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Income (loss) of the VIE</w:t>
            </w:r>
            <w:r>
              <w:rPr>
                <w:rFonts w:ascii="Times New Roman" w:cs="Times New Roman" w:eastAsia="Times New Roman" w:hAnsi="Times New Roman"/>
                <w:sz w:val="26"/>
                <w:szCs w:val="26"/>
                <w:color w:val="auto"/>
                <w:vertAlign w:val="superscript"/>
              </w:rPr>
              <w:t>(3)</w:t>
            </w: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(131,201)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non-operations</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90,509</w:t>
            </w:r>
          </w:p>
        </w:tc>
        <w:tc>
          <w:tcPr>
            <w:tcW w:w="22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140,771</w:t>
            </w:r>
          </w:p>
        </w:tc>
        <w:tc>
          <w:tcPr>
            <w:tcW w:w="0" w:type="dxa"/>
            <w:vAlign w:val="bottom"/>
          </w:tcPr>
          <w:p>
            <w:pPr>
              <w:spacing w:after="0"/>
              <w:rPr>
                <w:sz w:val="1"/>
                <w:szCs w:val="1"/>
                <w:color w:val="auto"/>
              </w:rPr>
            </w:pPr>
          </w:p>
        </w:tc>
      </w:tr>
      <w:tr>
        <w:trPr>
          <w:trHeight w:val="191"/>
        </w:trPr>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w:t>
            </w:r>
          </w:p>
        </w:tc>
        <w:tc>
          <w:tcPr>
            <w:tcW w:w="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449,020</w:t>
            </w:r>
          </w:p>
        </w:tc>
        <w:tc>
          <w:tcPr>
            <w:tcW w:w="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602,287</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523,329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192,287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(1,161,327)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605,596</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48,683</w:t>
            </w:r>
          </w:p>
        </w:tc>
        <w:tc>
          <w:tcPr>
            <w:tcW w:w="22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144,521</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553,604</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(1,161,327)</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461,075</w:t>
            </w: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to redeemable non-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Weibo’s</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449,020</w:t>
            </w:r>
          </w:p>
        </w:tc>
        <w:tc>
          <w:tcPr>
            <w:tcW w:w="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553,630</w:t>
            </w:r>
          </w:p>
        </w:tc>
        <w:tc>
          <w:tcPr>
            <w:tcW w:w="220" w:type="dxa"/>
            <w:vAlign w:val="bottom"/>
            <w:tcBorders>
              <w:right w:val="single" w:sz="8" w:color="CCEEFF"/>
            </w:tcBorders>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476,496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(1,161,327)</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449,020</w:t>
            </w:r>
          </w:p>
        </w:tc>
        <w:tc>
          <w:tcPr>
            <w:tcW w:w="0" w:type="dxa"/>
            <w:vAlign w:val="bottom"/>
          </w:tcPr>
          <w:p>
            <w:pPr>
              <w:spacing w:after="0"/>
              <w:rPr>
                <w:sz w:val="1"/>
                <w:szCs w:val="1"/>
                <w:color w:val="auto"/>
              </w:rPr>
            </w:pPr>
          </w:p>
        </w:tc>
      </w:tr>
      <w:tr>
        <w:trPr>
          <w:trHeight w:val="234"/>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02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2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16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Corporation</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4"/>
                <w:szCs w:val="14"/>
                <w:b w:val="1"/>
                <w:bCs w:val="1"/>
                <w:color w:val="auto"/>
                <w:w w:val="96"/>
              </w:rPr>
              <w:t>VIEs</w:t>
            </w:r>
            <w:r>
              <w:rPr>
                <w:rFonts w:ascii="Times New Roman" w:cs="Times New Roman" w:eastAsia="Times New Roman" w:hAnsi="Times New Roman"/>
                <w:sz w:val="21"/>
                <w:szCs w:val="21"/>
                <w:b w:val="1"/>
                <w:bCs w:val="1"/>
                <w:color w:val="auto"/>
                <w:w w:val="96"/>
                <w:vertAlign w:val="superscript"/>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adjustments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US$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revenues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118,977</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1,512,278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1,754,677</w:t>
            </w:r>
          </w:p>
        </w:tc>
        <w:tc>
          <w:tcPr>
            <w:tcW w:w="0" w:type="dxa"/>
            <w:vAlign w:val="bottom"/>
          </w:tcPr>
          <w:p>
            <w:pPr>
              <w:spacing w:after="0"/>
              <w:rPr>
                <w:sz w:val="1"/>
                <w:szCs w:val="1"/>
                <w:color w:val="auto"/>
              </w:rPr>
            </w:pPr>
          </w:p>
        </w:tc>
      </w:tr>
      <w:tr>
        <w:trPr>
          <w:trHeight w:val="230"/>
        </w:trPr>
        <w:tc>
          <w:tcPr>
            <w:tcW w:w="31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Intercompany revenue</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15,420</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712,383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(727,803)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left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134,397</w:t>
            </w:r>
          </w:p>
        </w:tc>
        <w:tc>
          <w:tcPr>
            <w:tcW w:w="220" w:type="dxa"/>
            <w:vAlign w:val="bottom"/>
            <w:tcBorders>
              <w:top w:val="single" w:sz="8" w:color="CCEEFF"/>
              <w:left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835,805</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1,512,278</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(727,803)</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1,754,677</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costs and expenses</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(718,817)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727,803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and expenses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(74,291)</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(377,740)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(698,940)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(1,260,353)</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(74,291)</w:t>
            </w: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(109,382)</w:t>
            </w:r>
          </w:p>
        </w:tc>
        <w:tc>
          <w:tcPr>
            <w:tcW w:w="22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(386,726)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(1,417,757)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(1,260,353)</w:t>
            </w:r>
          </w:p>
        </w:tc>
        <w:tc>
          <w:tcPr>
            <w:tcW w:w="0" w:type="dxa"/>
            <w:vAlign w:val="bottom"/>
          </w:tcPr>
          <w:p>
            <w:pPr>
              <w:spacing w:after="0"/>
              <w:rPr>
                <w:sz w:val="1"/>
                <w:szCs w:val="1"/>
                <w:color w:val="auto"/>
              </w:rPr>
            </w:pPr>
          </w:p>
        </w:tc>
      </w:tr>
      <w:tr>
        <w:trPr>
          <w:trHeight w:val="229"/>
        </w:trPr>
        <w:tc>
          <w:tcPr>
            <w:tcW w:w="31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Share of income (loss) of subsidiaries</w:t>
            </w:r>
            <w:r>
              <w:rPr>
                <w:rFonts w:ascii="Times New Roman" w:cs="Times New Roman" w:eastAsia="Times New Roman" w:hAnsi="Times New Roman"/>
                <w:sz w:val="26"/>
                <w:szCs w:val="26"/>
                <w:color w:val="auto"/>
                <w:vertAlign w:val="superscript"/>
              </w:rPr>
              <w:t>(2)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438,191</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445,403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2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(883,594)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Income (loss) of the VIE</w:t>
            </w:r>
            <w:r>
              <w:rPr>
                <w:rFonts w:ascii="Times New Roman" w:cs="Times New Roman" w:eastAsia="Times New Roman" w:hAnsi="Times New Roman"/>
                <w:sz w:val="26"/>
                <w:szCs w:val="26"/>
                <w:color w:val="auto"/>
                <w:vertAlign w:val="superscript"/>
              </w:rPr>
              <w:t>(3)</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non-operations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(63,099)</w:t>
            </w: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(49,364)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expenses</w:t>
            </w: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300,801</w:t>
            </w: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467,865</w:t>
            </w:r>
          </w:p>
        </w:tc>
        <w:tc>
          <w:tcPr>
            <w:tcW w:w="22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498,646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45,157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420,655</w:t>
            </w: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29,666</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110,550</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300,801</w:t>
            </w: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438,199</w:t>
            </w:r>
          </w:p>
        </w:tc>
        <w:tc>
          <w:tcPr>
            <w:tcW w:w="22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445,403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310,105</w:t>
            </w:r>
          </w:p>
        </w:tc>
        <w:tc>
          <w:tcPr>
            <w:tcW w:w="0" w:type="dxa"/>
            <w:vAlign w:val="bottom"/>
          </w:tcPr>
          <w:p>
            <w:pPr>
              <w:spacing w:after="0"/>
              <w:rPr>
                <w:sz w:val="1"/>
                <w:szCs w:val="1"/>
                <w:color w:val="auto"/>
              </w:rPr>
            </w:pPr>
          </w:p>
        </w:tc>
      </w:tr>
      <w:tr>
        <w:trPr>
          <w:trHeight w:val="211"/>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left w:val="single" w:sz="8" w:color="CCEEFF"/>
              <w:right w:val="single" w:sz="8" w:color="CCEEFF"/>
            </w:tcBorders>
            <w:shd w:val="clear" w:color="auto" w:fill="CCEEFF"/>
          </w:tcPr>
          <w:p>
            <w:pPr>
              <w:spacing w:after="0"/>
              <w:rPr>
                <w:sz w:val="21"/>
                <w:szCs w:val="21"/>
                <w:color w:val="auto"/>
              </w:rPr>
            </w:pPr>
          </w:p>
        </w:tc>
        <w:tc>
          <w:tcPr>
            <w:tcW w:w="102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to redeemable non-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0" w:type="dxa"/>
            <w:vAlign w:val="bottom"/>
          </w:tcPr>
          <w:p>
            <w:pPr>
              <w:spacing w:after="0"/>
              <w:rPr>
                <w:sz w:val="1"/>
                <w:szCs w:val="1"/>
                <w:color w:val="auto"/>
              </w:rPr>
            </w:pPr>
          </w:p>
        </w:tc>
      </w:tr>
      <w:tr>
        <w:trPr>
          <w:trHeight w:val="198"/>
        </w:trPr>
        <w:tc>
          <w:tcPr>
            <w:tcW w:w="31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Weibo’s</w:t>
            </w:r>
          </w:p>
        </w:tc>
        <w:tc>
          <w:tcPr>
            <w:tcW w:w="10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300,801</w:t>
            </w:r>
          </w:p>
        </w:tc>
        <w:tc>
          <w:tcPr>
            <w:tcW w:w="1040" w:type="dxa"/>
            <w:vAlign w:val="bottom"/>
            <w:tcBorders>
              <w:lef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438,191</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9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(891,814)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300,801</w:t>
            </w:r>
          </w:p>
        </w:tc>
        <w:tc>
          <w:tcPr>
            <w:tcW w:w="0" w:type="dxa"/>
            <w:vAlign w:val="bottom"/>
          </w:tcPr>
          <w:p>
            <w:pPr>
              <w:spacing w:after="0"/>
              <w:rPr>
                <w:sz w:val="1"/>
                <w:szCs w:val="1"/>
                <w:color w:val="auto"/>
              </w:rPr>
            </w:pPr>
          </w:p>
        </w:tc>
      </w:tr>
      <w:tr>
        <w:trPr>
          <w:trHeight w:val="234"/>
        </w:trPr>
        <w:tc>
          <w:tcPr>
            <w:tcW w:w="31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040" w:type="dxa"/>
            <w:vAlign w:val="bottom"/>
            <w:gridSpan w:val="3"/>
            <w:vMerge w:val="continue"/>
            <w:shd w:val="clear" w:color="auto" w:fill="CCEEFF"/>
          </w:tcPr>
          <w:p>
            <w:pPr>
              <w:spacing w:after="0"/>
              <w:rPr>
                <w:sz w:val="20"/>
                <w:szCs w:val="20"/>
                <w:color w:val="auto"/>
              </w:rPr>
            </w:pPr>
          </w:p>
        </w:tc>
        <w:tc>
          <w:tcPr>
            <w:tcW w:w="1040" w:type="dxa"/>
            <w:vAlign w:val="bottom"/>
            <w:tcBorders>
              <w:left w:val="single" w:sz="8" w:color="CCEEFF"/>
            </w:tcBorders>
            <w:gridSpan w:val="3"/>
            <w:vMerge w:val="continue"/>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6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Corporation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Subsidiaries  ​​​</w:t>
            </w:r>
          </w:p>
        </w:tc>
        <w:tc>
          <w:tcPr>
            <w:tcW w:w="220" w:type="dxa"/>
            <w:vAlign w:val="bottom"/>
          </w:tcPr>
          <w:p>
            <w:pPr>
              <w:spacing w:after="0"/>
              <w:rPr>
                <w:sz w:val="17"/>
                <w:szCs w:val="17"/>
                <w:color w:val="auto"/>
              </w:rPr>
            </w:pPr>
          </w:p>
        </w:tc>
        <w:tc>
          <w:tcPr>
            <w:tcW w:w="840" w:type="dxa"/>
            <w:vAlign w:val="bottom"/>
            <w:gridSpan w:val="2"/>
          </w:tcPr>
          <w:p>
            <w:pPr>
              <w:jc w:val="right"/>
              <w:ind w:right="360"/>
              <w:spacing w:after="0" w:line="200" w:lineRule="exact"/>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21"/>
                <w:szCs w:val="21"/>
                <w:b w:val="1"/>
                <w:bCs w:val="1"/>
                <w:color w:val="auto"/>
                <w:vertAlign w:val="superscript"/>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3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0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revenues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123,869</w:t>
            </w:r>
          </w:p>
        </w:tc>
        <w:tc>
          <w:tcPr>
            <w:tcW w:w="16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1,759,836</w:t>
            </w:r>
          </w:p>
        </w:tc>
        <w:tc>
          <w:tcPr>
            <w:tcW w:w="0" w:type="dxa"/>
            <w:vAlign w:val="bottom"/>
          </w:tcPr>
          <w:p>
            <w:pPr>
              <w:spacing w:after="0"/>
              <w:rPr>
                <w:sz w:val="1"/>
                <w:szCs w:val="1"/>
                <w:color w:val="auto"/>
              </w:rPr>
            </w:pPr>
          </w:p>
        </w:tc>
      </w:tr>
      <w:tr>
        <w:trPr>
          <w:trHeight w:val="229"/>
        </w:trPr>
        <w:tc>
          <w:tcPr>
            <w:tcW w:w="31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Intercompany revenue</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19"/>
                <w:szCs w:val="19"/>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(714,835)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left w:val="single" w:sz="8" w:color="CCEEFF"/>
              <w:right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819,127</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1,531,675</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(714,835)</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1,759,836</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costs and expenses</w:t>
            </w:r>
          </w:p>
        </w:tc>
        <w:tc>
          <w:tcPr>
            <w:tcW w:w="100" w:type="dxa"/>
            <w:vAlign w:val="bottom"/>
          </w:tcPr>
          <w:p>
            <w:pPr>
              <w:spacing w:after="0"/>
              <w:rPr>
                <w:sz w:val="19"/>
                <w:szCs w:val="19"/>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(714,835)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714,835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and expenses</w:t>
            </w:r>
          </w:p>
        </w:tc>
        <w:tc>
          <w:tcPr>
            <w:tcW w:w="10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(105,764)</w:t>
            </w:r>
          </w:p>
        </w:tc>
        <w:tc>
          <w:tcPr>
            <w:tcW w:w="10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(107,858)</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(357,333)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(715,947)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(1,286,902)</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(105,764)</w:t>
            </w: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(107,858)</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(1,430,782)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714,835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(1,286,902)</w:t>
            </w: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Share of income (loss) of subsidiaries</w:t>
            </w:r>
            <w:r>
              <w:rPr>
                <w:rFonts w:ascii="Times New Roman" w:cs="Times New Roman" w:eastAsia="Times New Roman" w:hAnsi="Times New Roman"/>
                <w:sz w:val="26"/>
                <w:szCs w:val="26"/>
                <w:color w:val="auto"/>
                <w:vertAlign w:val="superscript"/>
              </w:rPr>
              <w:t>(2)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529,304</w:t>
            </w:r>
          </w:p>
        </w:tc>
        <w:tc>
          <w:tcPr>
            <w:tcW w:w="160" w:type="dxa"/>
            <w:vAlign w:val="bottom"/>
            <w:shd w:val="clear" w:color="auto" w:fill="CCEEFF"/>
          </w:tcPr>
          <w:p>
            <w:pPr>
              <w:spacing w:after="0"/>
              <w:rPr>
                <w:sz w:val="19"/>
                <w:szCs w:val="19"/>
                <w:color w:val="auto"/>
              </w:rPr>
            </w:pP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504,505</w:t>
            </w:r>
          </w:p>
        </w:tc>
        <w:tc>
          <w:tcPr>
            <w:tcW w:w="16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(1,033,809)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Income (loss) of the VIE</w:t>
            </w:r>
            <w:r>
              <w:rPr>
                <w:rFonts w:ascii="Times New Roman" w:cs="Times New Roman" w:eastAsia="Times New Roman" w:hAnsi="Times New Roman"/>
                <w:sz w:val="26"/>
                <w:szCs w:val="26"/>
                <w:color w:val="auto"/>
                <w:vertAlign w:val="superscript"/>
              </w:rPr>
              <w:t>(3)</w:t>
            </w:r>
          </w:p>
        </w:tc>
        <w:tc>
          <w:tcPr>
            <w:tcW w:w="100" w:type="dxa"/>
            <w:vAlign w:val="bottom"/>
          </w:tcPr>
          <w:p>
            <w:pPr>
              <w:spacing w:after="0"/>
              <w:rPr>
                <w:sz w:val="19"/>
                <w:szCs w:val="19"/>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(25,343)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non-operations</w:t>
            </w:r>
          </w:p>
        </w:tc>
        <w:tc>
          <w:tcPr>
            <w:tcW w:w="10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(80,942)</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59,649</w:t>
            </w:r>
          </w:p>
        </w:tc>
        <w:tc>
          <w:tcPr>
            <w:tcW w:w="16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191"/>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580,165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(1,059,152)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502,782</w:t>
            </w:r>
          </w:p>
        </w:tc>
        <w:tc>
          <w:tcPr>
            <w:tcW w:w="0" w:type="dxa"/>
            <w:vAlign w:val="bottom"/>
          </w:tcPr>
          <w:p>
            <w:pPr>
              <w:spacing w:after="0"/>
              <w:rPr>
                <w:sz w:val="1"/>
                <w:szCs w:val="1"/>
                <w:color w:val="auto"/>
              </w:rPr>
            </w:pPr>
          </w:p>
        </w:tc>
      </w:tr>
      <w:tr>
        <w:trPr>
          <w:trHeight w:val="243"/>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160" w:type="dxa"/>
            <w:vAlign w:val="bottom"/>
            <w:shd w:val="clear" w:color="auto" w:fill="CCEEFF"/>
          </w:tcPr>
          <w:p>
            <w:pPr>
              <w:spacing w:after="0"/>
              <w:rPr>
                <w:sz w:val="21"/>
                <w:szCs w:val="21"/>
                <w:color w:val="auto"/>
              </w:rPr>
            </w:pPr>
          </w:p>
        </w:tc>
        <w:tc>
          <w:tcPr>
            <w:tcW w:w="220" w:type="dxa"/>
            <w:vAlign w:val="bottom"/>
            <w:tcBorders>
              <w:left w:val="single" w:sz="8" w:color="CCEEFF"/>
              <w:right w:val="single" w:sz="8" w:color="CCEEFF"/>
            </w:tcBorders>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529,303</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(1,059,152)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357,495</w:t>
            </w:r>
          </w:p>
        </w:tc>
        <w:tc>
          <w:tcPr>
            <w:tcW w:w="0" w:type="dxa"/>
            <w:vAlign w:val="bottom"/>
          </w:tcPr>
          <w:p>
            <w:pPr>
              <w:spacing w:after="0"/>
              <w:rPr>
                <w:sz w:val="1"/>
                <w:szCs w:val="1"/>
                <w:color w:val="auto"/>
              </w:rPr>
            </w:pPr>
          </w:p>
        </w:tc>
      </w:tr>
      <w:tr>
        <w:trPr>
          <w:trHeight w:val="211"/>
        </w:trPr>
        <w:tc>
          <w:tcPr>
            <w:tcW w:w="3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left w:val="single" w:sz="8" w:color="CCEEFF"/>
              <w:righ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to redeemable non-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198"/>
        </w:trPr>
        <w:tc>
          <w:tcPr>
            <w:tcW w:w="31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160" w:type="dxa"/>
            <w:vAlign w:val="bottom"/>
            <w:shd w:val="clear" w:color="auto" w:fill="CCEEFF"/>
          </w:tcPr>
          <w:p>
            <w:pPr>
              <w:spacing w:after="0"/>
              <w:rPr>
                <w:sz w:val="17"/>
                <w:szCs w:val="17"/>
                <w:color w:val="auto"/>
              </w:rPr>
            </w:pPr>
          </w:p>
        </w:tc>
        <w:tc>
          <w:tcPr>
            <w:tcW w:w="8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529,304</w:t>
            </w: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(1,059,152)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0" w:type="dxa"/>
            <w:vAlign w:val="bottom"/>
          </w:tcPr>
          <w:p>
            <w:pPr>
              <w:spacing w:after="0"/>
              <w:rPr>
                <w:sz w:val="1"/>
                <w:szCs w:val="1"/>
                <w:color w:val="auto"/>
              </w:rPr>
            </w:pPr>
          </w:p>
        </w:tc>
      </w:tr>
      <w:tr>
        <w:trPr>
          <w:trHeight w:val="234"/>
        </w:trPr>
        <w:tc>
          <w:tcPr>
            <w:tcW w:w="31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Weibo’s Shareholders</w:t>
            </w:r>
          </w:p>
        </w:tc>
        <w:tc>
          <w:tcPr>
            <w:tcW w:w="8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left w:val="single" w:sz="8" w:color="CCEEFF"/>
            </w:tcBorders>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Statements of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1120" w:type="dxa"/>
            <w:vAlign w:val="bottom"/>
            <w:gridSpan w:val="2"/>
          </w:tcPr>
          <w:p>
            <w:pPr>
              <w:jc w:val="right"/>
              <w:ind w:right="911"/>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60" w:type="dxa"/>
            <w:vAlign w:val="bottom"/>
          </w:tcPr>
          <w:p>
            <w:pPr>
              <w:spacing w:after="0"/>
              <w:rPr>
                <w:sz w:val="16"/>
                <w:szCs w:val="16"/>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1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1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00" w:lineRule="exact"/>
              <w:rPr>
                <w:sz w:val="20"/>
                <w:szCs w:val="20"/>
                <w:color w:val="auto"/>
              </w:rPr>
            </w:pPr>
            <w:r>
              <w:rPr>
                <w:rFonts w:ascii="Times New Roman" w:cs="Times New Roman" w:eastAsia="Times New Roman" w:hAnsi="Times New Roman"/>
                <w:sz w:val="14"/>
                <w:szCs w:val="14"/>
                <w:b w:val="1"/>
                <w:bCs w:val="1"/>
                <w:color w:val="auto"/>
                <w:w w:val="96"/>
              </w:rPr>
              <w:t>VIEs</w:t>
            </w:r>
            <w:r>
              <w:rPr>
                <w:rFonts w:ascii="Times New Roman" w:cs="Times New Roman" w:eastAsia="Times New Roman" w:hAnsi="Times New Roman"/>
                <w:sz w:val="21"/>
                <w:szCs w:val="21"/>
                <w:b w:val="1"/>
                <w:bCs w:val="1"/>
                <w:color w:val="auto"/>
                <w:w w:val="96"/>
                <w:vertAlign w:val="superscript"/>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31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 US$</w:t>
            </w:r>
          </w:p>
        </w:tc>
        <w:tc>
          <w:tcPr>
            <w:tcW w:w="98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552,483</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757,963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2,298,941</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106,139</w:t>
            </w:r>
          </w:p>
        </w:tc>
        <w:tc>
          <w:tcPr>
            <w:tcW w:w="0" w:type="dxa"/>
            <w:vAlign w:val="bottom"/>
          </w:tcPr>
          <w:p>
            <w:pPr>
              <w:spacing w:after="0"/>
              <w:rPr>
                <w:sz w:val="1"/>
                <w:szCs w:val="1"/>
                <w:color w:val="auto"/>
              </w:rPr>
            </w:pPr>
          </w:p>
        </w:tc>
      </w:tr>
      <w:tr>
        <w:trPr>
          <w:trHeight w:val="229"/>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382,712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400,209</w:t>
            </w:r>
          </w:p>
        </w:tc>
        <w:tc>
          <w:tcPr>
            <w:tcW w:w="0" w:type="dxa"/>
            <w:vAlign w:val="bottom"/>
          </w:tcPr>
          <w:p>
            <w:pPr>
              <w:spacing w:after="0"/>
              <w:rPr>
                <w:sz w:val="1"/>
                <w:szCs w:val="1"/>
                <w:color w:val="auto"/>
              </w:rPr>
            </w:pP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94,329</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330,356</w:t>
            </w:r>
          </w:p>
        </w:tc>
        <w:tc>
          <w:tcPr>
            <w:tcW w:w="0" w:type="dxa"/>
            <w:vAlign w:val="bottom"/>
          </w:tcPr>
          <w:p>
            <w:pPr>
              <w:spacing w:after="0"/>
              <w:rPr>
                <w:sz w:val="1"/>
                <w:szCs w:val="1"/>
                <w:color w:val="auto"/>
              </w:rPr>
            </w:pPr>
          </w:p>
        </w:tc>
      </w:tr>
      <w:tr>
        <w:trPr>
          <w:trHeight w:val="243"/>
        </w:trPr>
        <w:tc>
          <w:tcPr>
            <w:tcW w:w="3140" w:type="dxa"/>
            <w:vAlign w:val="bottom"/>
            <w:tcBorders>
              <w:righ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Amount due from Group companies</w:t>
            </w:r>
            <w:r>
              <w:rPr>
                <w:rFonts w:ascii="Times New Roman" w:cs="Times New Roman" w:eastAsia="Times New Roman" w:hAnsi="Times New Roman"/>
                <w:sz w:val="26"/>
                <w:szCs w:val="26"/>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606,759</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2,614,226</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(3,220,985)</w:t>
            </w:r>
          </w:p>
        </w:tc>
        <w:tc>
          <w:tcPr>
            <w:tcW w:w="180" w:type="dxa"/>
            <w:vAlign w:val="bottom"/>
            <w:tcBorders>
              <w:right w:val="single" w:sz="8" w:color="CCEEFF"/>
            </w:tcBorders>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(to) SINA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73,269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441,143</w:t>
            </w:r>
          </w:p>
        </w:tc>
        <w:tc>
          <w:tcPr>
            <w:tcW w:w="0" w:type="dxa"/>
            <w:vAlign w:val="bottom"/>
          </w:tcPr>
          <w:p>
            <w:pPr>
              <w:spacing w:after="0"/>
              <w:rPr>
                <w:sz w:val="1"/>
                <w:szCs w:val="1"/>
                <w:color w:val="auto"/>
              </w:rPr>
            </w:pPr>
          </w:p>
        </w:tc>
      </w:tr>
      <w:tr>
        <w:trPr>
          <w:trHeight w:val="229"/>
        </w:trPr>
        <w:tc>
          <w:tcPr>
            <w:tcW w:w="314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Investment in subsidiaries</w:t>
            </w:r>
            <w:r>
              <w:rPr>
                <w:rFonts w:ascii="Times New Roman" w:cs="Times New Roman" w:eastAsia="Times New Roman" w:hAnsi="Times New Roman"/>
                <w:sz w:val="26"/>
                <w:szCs w:val="26"/>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4,392,573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3,641,932</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(8,034,505)</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Net assets of the VIEs</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(28,059)</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155,405</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282,442</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119,593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153,763</w:t>
            </w: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96,293</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169,280</w:t>
            </w:r>
          </w:p>
        </w:tc>
        <w:tc>
          <w:tcPr>
            <w:tcW w:w="0" w:type="dxa"/>
            <w:vAlign w:val="bottom"/>
          </w:tcPr>
          <w:p>
            <w:pPr>
              <w:spacing w:after="0"/>
              <w:rPr>
                <w:sz w:val="1"/>
                <w:szCs w:val="1"/>
                <w:color w:val="auto"/>
              </w:rPr>
            </w:pPr>
          </w:p>
        </w:tc>
      </w:tr>
      <w:tr>
        <w:trPr>
          <w:trHeight w:val="229"/>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1,199,001</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1,663,346</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495,876</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1,149,274</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5,804,781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6,357,276</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4,001,052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2,211,626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(11,283,549)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7,091,186</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248,977</w:t>
            </w:r>
          </w:p>
        </w:tc>
        <w:tc>
          <w:tcPr>
            <w:tcW w:w="0" w:type="dxa"/>
            <w:vAlign w:val="bottom"/>
          </w:tcPr>
          <w:p>
            <w:pPr>
              <w:spacing w:after="0"/>
              <w:rPr>
                <w:sz w:val="1"/>
                <w:szCs w:val="1"/>
                <w:color w:val="auto"/>
              </w:rPr>
            </w:pPr>
          </w:p>
        </w:tc>
      </w:tr>
      <w:tr>
        <w:trPr>
          <w:trHeight w:val="229"/>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225,270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634,447</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80,049</w:t>
            </w: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78,315</w:t>
            </w:r>
          </w:p>
        </w:tc>
        <w:tc>
          <w:tcPr>
            <w:tcW w:w="0" w:type="dxa"/>
            <w:vAlign w:val="bottom"/>
          </w:tcPr>
          <w:p>
            <w:pPr>
              <w:spacing w:after="0"/>
              <w:rPr>
                <w:sz w:val="1"/>
                <w:szCs w:val="1"/>
                <w:color w:val="auto"/>
              </w:rPr>
            </w:pPr>
          </w:p>
        </w:tc>
      </w:tr>
      <w:tr>
        <w:trPr>
          <w:trHeight w:val="230"/>
        </w:trPr>
        <w:tc>
          <w:tcPr>
            <w:tcW w:w="31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Amount due to Group companies</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1,822,695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(3,220,985)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42,392</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119,302</w:t>
            </w: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745,630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745,630</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323,944</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323,944</w:t>
            </w: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793,976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793,976</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1,884,052</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1,966,679</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359,120</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2,094,757</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(3,220,985)</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3,083,623</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32,828</w:t>
            </w:r>
          </w:p>
        </w:tc>
        <w:tc>
          <w:tcPr>
            <w:tcW w:w="0" w:type="dxa"/>
            <w:vAlign w:val="bottom"/>
          </w:tcPr>
          <w:p>
            <w:pPr>
              <w:spacing w:after="0"/>
              <w:rPr>
                <w:sz w:val="1"/>
                <w:szCs w:val="1"/>
                <w:color w:val="auto"/>
              </w:rPr>
            </w:pPr>
          </w:p>
        </w:tc>
      </w:tr>
      <w:tr>
        <w:trPr>
          <w:trHeight w:val="223"/>
        </w:trPr>
        <w:tc>
          <w:tcPr>
            <w:tcW w:w="3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3,920,729</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4,390,597</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3,641,932</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84,041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(8,062,564)</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3,974,735</w:t>
            </w:r>
          </w:p>
        </w:tc>
        <w:tc>
          <w:tcPr>
            <w:tcW w:w="0" w:type="dxa"/>
            <w:vAlign w:val="bottom"/>
          </w:tcPr>
          <w:p>
            <w:pPr>
              <w:spacing w:after="0"/>
              <w:rPr>
                <w:sz w:val="1"/>
                <w:szCs w:val="1"/>
                <w:color w:val="auto"/>
              </w:rPr>
            </w:pPr>
          </w:p>
        </w:tc>
      </w:tr>
      <w:tr>
        <w:trPr>
          <w:trHeight w:val="187"/>
        </w:trPr>
        <w:tc>
          <w:tcPr>
            <w:tcW w:w="3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redeemable non-</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controlling interests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5,804,781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6,357,276</w:t>
            </w: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4,001,052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2,211,626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(11,283,549)</w:t>
            </w:r>
          </w:p>
        </w:tc>
        <w:tc>
          <w:tcPr>
            <w:tcW w:w="1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7,091,186</w:t>
            </w:r>
          </w:p>
        </w:tc>
        <w:tc>
          <w:tcPr>
            <w:tcW w:w="0" w:type="dxa"/>
            <w:vAlign w:val="bottom"/>
          </w:tcPr>
          <w:p>
            <w:pPr>
              <w:spacing w:after="0"/>
              <w:rPr>
                <w:sz w:val="1"/>
                <w:szCs w:val="1"/>
                <w:color w:val="auto"/>
              </w:rPr>
            </w:pPr>
          </w:p>
        </w:tc>
      </w:tr>
      <w:tr>
        <w:trPr>
          <w:trHeight w:val="238"/>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0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2"/>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60" w:type="dxa"/>
            <w:vAlign w:val="bottom"/>
          </w:tcPr>
          <w:p>
            <w:pPr>
              <w:spacing w:after="0"/>
              <w:rPr>
                <w:sz w:val="16"/>
                <w:szCs w:val="16"/>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12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1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23"/>
              <w:spacing w:after="0" w:line="200" w:lineRule="exact"/>
              <w:rPr>
                <w:sz w:val="20"/>
                <w:szCs w:val="20"/>
                <w:color w:val="auto"/>
              </w:rPr>
            </w:pPr>
            <w:r>
              <w:rPr>
                <w:rFonts w:ascii="Times New Roman" w:cs="Times New Roman" w:eastAsia="Times New Roman" w:hAnsi="Times New Roman"/>
                <w:sz w:val="14"/>
                <w:szCs w:val="14"/>
                <w:b w:val="1"/>
                <w:bCs w:val="1"/>
                <w:color w:val="auto"/>
                <w:w w:val="96"/>
              </w:rPr>
              <w:t>VIEs</w:t>
            </w:r>
            <w:r>
              <w:rPr>
                <w:rFonts w:ascii="Times New Roman" w:cs="Times New Roman" w:eastAsia="Times New Roman" w:hAnsi="Times New Roman"/>
                <w:sz w:val="21"/>
                <w:szCs w:val="21"/>
                <w:b w:val="1"/>
                <w:bCs w:val="1"/>
                <w:color w:val="auto"/>
                <w:w w:val="96"/>
                <w:vertAlign w:val="super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6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821,991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1,890,632</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207,084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459,852</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339,754</w:t>
            </w:r>
          </w:p>
        </w:tc>
        <w:tc>
          <w:tcPr>
            <w:tcW w:w="0" w:type="dxa"/>
            <w:vAlign w:val="bottom"/>
          </w:tcPr>
          <w:p>
            <w:pPr>
              <w:spacing w:after="0"/>
              <w:rPr>
                <w:sz w:val="1"/>
                <w:szCs w:val="1"/>
                <w:color w:val="auto"/>
              </w:rPr>
            </w:pPr>
          </w:p>
        </w:tc>
      </w:tr>
      <w:tr>
        <w:trPr>
          <w:trHeight w:val="21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134,595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348,774</w:t>
            </w:r>
          </w:p>
        </w:tc>
        <w:tc>
          <w:tcPr>
            <w:tcW w:w="0" w:type="dxa"/>
            <w:vAlign w:val="bottom"/>
          </w:tcPr>
          <w:p>
            <w:pPr>
              <w:spacing w:after="0"/>
              <w:rPr>
                <w:sz w:val="1"/>
                <w:szCs w:val="1"/>
                <w:color w:val="auto"/>
              </w:rPr>
            </w:pPr>
          </w:p>
        </w:tc>
      </w:tr>
      <w:tr>
        <w:trPr>
          <w:trHeight w:val="243"/>
        </w:trPr>
        <w:tc>
          <w:tcPr>
            <w:tcW w:w="31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Amount due from Group companies</w:t>
            </w:r>
            <w:r>
              <w:rPr>
                <w:rFonts w:ascii="Times New Roman" w:cs="Times New Roman" w:eastAsia="Times New Roman" w:hAnsi="Times New Roman"/>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857,541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2,530,307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(3,387,848)</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from (to) SINA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452,769</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Investment in subsidiaries</w:t>
            </w:r>
            <w:r>
              <w:rPr>
                <w:rFonts w:ascii="Times New Roman" w:cs="Times New Roman" w:eastAsia="Times New Roman" w:hAnsi="Times New Roman"/>
                <w:sz w:val="26"/>
                <w:szCs w:val="26"/>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3,743,949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3,018,699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(6,762,648)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Net assets of the VIEs</w:t>
            </w:r>
            <w:r>
              <w:rPr>
                <w:rFonts w:ascii="Times New Roman" w:cs="Times New Roman" w:eastAsia="Times New Roman" w:hAnsi="Times New Roman"/>
                <w:sz w:val="26"/>
                <w:szCs w:val="26"/>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215,034</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119,956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154,717</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109,781</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162,223</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1,090,046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1,389,199</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283,711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981,764</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5,364,368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5,893,135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3,354,601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1,953,246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(10,060,851)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6,504,499</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158,435</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640,207</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72,642</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Amount due to Group companies</w:t>
            </w:r>
            <w:r>
              <w:rPr>
                <w:rFonts w:ascii="Times New Roman" w:cs="Times New Roman" w:eastAsia="Times New Roman" w:hAnsi="Times New Roman"/>
                <w:sz w:val="26"/>
                <w:szCs w:val="26"/>
                <w:color w:val="auto"/>
                <w:vertAlign w:val="superscript"/>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2,062,700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(3,387,848)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44,742</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61,052</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744,662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744,662</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320,803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320,803</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795,311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795,311</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1,881,597</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2,151,136</w:t>
            </w: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335,902</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1,944,826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(3,387,848)</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2,925,613</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45,103</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45,103</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3,482,771</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3,741,999</w:t>
            </w: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3,018,699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(6,673,003)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3,533,783</w:t>
            </w:r>
          </w:p>
        </w:tc>
        <w:tc>
          <w:tcPr>
            <w:tcW w:w="0" w:type="dxa"/>
            <w:vAlign w:val="bottom"/>
          </w:tcPr>
          <w:p>
            <w:pPr>
              <w:spacing w:after="0"/>
              <w:rPr>
                <w:sz w:val="1"/>
                <w:szCs w:val="1"/>
                <w:color w:val="auto"/>
              </w:rPr>
            </w:pPr>
          </w:p>
        </w:tc>
      </w:tr>
      <w:tr>
        <w:trPr>
          <w:trHeight w:val="187"/>
        </w:trPr>
        <w:tc>
          <w:tcPr>
            <w:tcW w:w="3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redeemable non-</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controlling interests and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5,364,368</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5,893,135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3,354,601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1,953,246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(10,060,851)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6,504,499</w:t>
            </w:r>
          </w:p>
        </w:tc>
        <w:tc>
          <w:tcPr>
            <w:tcW w:w="0" w:type="dxa"/>
            <w:vAlign w:val="bottom"/>
          </w:tcPr>
          <w:p>
            <w:pPr>
              <w:spacing w:after="0"/>
              <w:rPr>
                <w:sz w:val="1"/>
                <w:szCs w:val="1"/>
                <w:color w:val="auto"/>
              </w:rPr>
            </w:pPr>
          </w:p>
        </w:tc>
      </w:tr>
      <w:tr>
        <w:trPr>
          <w:trHeight w:val="238"/>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gridSpan w:val="2"/>
          </w:tcPr>
          <w:p>
            <w:pPr>
              <w:ind w:left="30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6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220" w:type="dxa"/>
            <w:vAlign w:val="bottom"/>
            <w:gridSpan w:val="2"/>
          </w:tcPr>
          <w:p>
            <w:pPr>
              <w:ind w:left="30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21"/>
                <w:szCs w:val="21"/>
                <w:b w:val="1"/>
                <w:bCs w:val="1"/>
                <w:color w:val="auto"/>
                <w:vertAlign w:val="superscript"/>
              </w:rPr>
              <w:t>*</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4"/>
                <w:szCs w:val="14"/>
                <w:color w:val="auto"/>
              </w:rPr>
              <w:t>​​​</w:t>
            </w: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 US$</w:t>
            </w:r>
          </w:p>
        </w:tc>
        <w:tc>
          <w:tcPr>
            <w:tcW w:w="96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986,234</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2,584,635</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641,035</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440,768</w:t>
            </w:r>
          </w:p>
        </w:tc>
        <w:tc>
          <w:tcPr>
            <w:tcW w:w="0" w:type="dxa"/>
            <w:vAlign w:val="bottom"/>
          </w:tcPr>
          <w:p>
            <w:pPr>
              <w:spacing w:after="0"/>
              <w:rPr>
                <w:sz w:val="1"/>
                <w:szCs w:val="1"/>
                <w:color w:val="auto"/>
              </w:rPr>
            </w:pPr>
          </w:p>
        </w:tc>
      </w:tr>
      <w:tr>
        <w:trPr>
          <w:trHeight w:val="21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123,588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359,881</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Amount due from Group companies</w:t>
            </w:r>
            <w:r>
              <w:rPr>
                <w:rFonts w:ascii="Times New Roman" w:cs="Times New Roman" w:eastAsia="Times New Roman" w:hAnsi="Times New Roman"/>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1,438,558</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2,143,046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(3,581,329)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from SINA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384,263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486,397</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Investment in subsidiaries</w:t>
            </w:r>
            <w:r>
              <w:rPr>
                <w:rFonts w:ascii="Times New Roman" w:cs="Times New Roman" w:eastAsia="Times New Roman" w:hAnsi="Times New Roman"/>
                <w:sz w:val="26"/>
                <w:szCs w:val="26"/>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3,381,059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3,076,279</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(6,457,338)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Net assets of the VIEs</w:t>
            </w:r>
            <w:r>
              <w:rPr>
                <w:rFonts w:ascii="Times New Roman" w:cs="Times New Roman" w:eastAsia="Times New Roman" w:hAnsi="Times New Roman"/>
                <w:sz w:val="26"/>
                <w:szCs w:val="26"/>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(86,751)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166,125</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220,663</w:t>
            </w: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170,266</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134,129</w:t>
            </w: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990,722</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1,320,386</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755,762</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6,088,064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5,652,554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3,430,832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2,060,824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(9,951,916)</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7,280,358</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161,493</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380,810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656,445</w:t>
            </w:r>
          </w:p>
        </w:tc>
        <w:tc>
          <w:tcPr>
            <w:tcW w:w="0" w:type="dxa"/>
            <w:vAlign w:val="bottom"/>
          </w:tcPr>
          <w:p>
            <w:pPr>
              <w:spacing w:after="0"/>
              <w:rPr>
                <w:sz w:val="1"/>
                <w:szCs w:val="1"/>
                <w:color w:val="auto"/>
              </w:rPr>
            </w:pPr>
          </w:p>
        </w:tc>
      </w:tr>
      <w:tr>
        <w:trPr>
          <w:trHeight w:val="229"/>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94,507</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75,187</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Amount due to Group companies</w:t>
            </w:r>
            <w:r>
              <w:rPr>
                <w:rFonts w:ascii="Times New Roman" w:cs="Times New Roman" w:eastAsia="Times New Roman" w:hAnsi="Times New Roman"/>
                <w:sz w:val="26"/>
                <w:szCs w:val="26"/>
                <w:color w:val="auto"/>
                <w:vertAlign w:val="superscript"/>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2,187,362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1,393,967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(3,581,329)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53,245</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66,151</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1,543,020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1,543,020</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317,625</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317,625</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loans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791,647</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791,647</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2,689,329</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2,273,453</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354,553</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2,026,736</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(3,581,329)</w:t>
            </w: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3,762,742</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68,728</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68,728</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3,398,735</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3,379,101</w:t>
            </w:r>
          </w:p>
        </w:tc>
        <w:tc>
          <w:tcPr>
            <w:tcW w:w="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3,076,279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(6,370,587)</w:t>
            </w:r>
          </w:p>
        </w:tc>
        <w:tc>
          <w:tcPr>
            <w:tcW w:w="22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3,448,888</w:t>
            </w:r>
          </w:p>
        </w:tc>
        <w:tc>
          <w:tcPr>
            <w:tcW w:w="0" w:type="dxa"/>
            <w:vAlign w:val="bottom"/>
          </w:tcPr>
          <w:p>
            <w:pPr>
              <w:spacing w:after="0"/>
              <w:rPr>
                <w:sz w:val="1"/>
                <w:szCs w:val="1"/>
                <w:color w:val="auto"/>
              </w:rPr>
            </w:pPr>
          </w:p>
        </w:tc>
      </w:tr>
      <w:tr>
        <w:trPr>
          <w:trHeight w:val="187"/>
        </w:trPr>
        <w:tc>
          <w:tcPr>
            <w:tcW w:w="3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redeemable non-</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controlling interests and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6,088,064</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5,652,554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3,430,832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2,060,824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(9,951,916)</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7,280,358</w:t>
            </w:r>
          </w:p>
        </w:tc>
        <w:tc>
          <w:tcPr>
            <w:tcW w:w="0" w:type="dxa"/>
            <w:vAlign w:val="bottom"/>
          </w:tcPr>
          <w:p>
            <w:pPr>
              <w:spacing w:after="0"/>
              <w:rPr>
                <w:sz w:val="1"/>
                <w:szCs w:val="1"/>
                <w:color w:val="auto"/>
              </w:rPr>
            </w:pPr>
          </w:p>
        </w:tc>
      </w:tr>
      <w:tr>
        <w:trPr>
          <w:trHeight w:val="238"/>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gridSpan w:val="2"/>
          </w:tcPr>
          <w:p>
            <w:pPr>
              <w:ind w:left="33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480" w:type="dxa"/>
            <w:vAlign w:val="bottom"/>
            <w:gridSpan w:val="2"/>
          </w:tcPr>
          <w:p>
            <w:pPr>
              <w:ind w:left="3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4"/>
                <w:szCs w:val="14"/>
                <w:b w:val="1"/>
                <w:bCs w:val="1"/>
                <w:color w:val="auto"/>
                <w:w w:val="96"/>
              </w:rPr>
              <w:t>VIEs</w:t>
            </w:r>
            <w:r>
              <w:rPr>
                <w:rFonts w:ascii="Times New Roman" w:cs="Times New Roman" w:eastAsia="Times New Roman" w:hAnsi="Times New Roman"/>
                <w:sz w:val="21"/>
                <w:szCs w:val="21"/>
                <w:b w:val="1"/>
                <w:bCs w:val="1"/>
                <w:color w:val="auto"/>
                <w:w w:val="96"/>
                <w:vertAlign w:val="superscript"/>
              </w:rPr>
              <w:t>*</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Borders>
              <w:right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(55,073)</w:t>
            </w:r>
          </w:p>
        </w:tc>
        <w:tc>
          <w:tcPr>
            <w:tcW w:w="10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124,315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389,315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519,479</w:t>
            </w:r>
          </w:p>
        </w:tc>
        <w:tc>
          <w:tcPr>
            <w:tcW w:w="0" w:type="dxa"/>
            <w:vAlign w:val="bottom"/>
          </w:tcPr>
          <w:p>
            <w:pPr>
              <w:spacing w:after="0"/>
              <w:rPr>
                <w:sz w:val="1"/>
                <w:szCs w:val="1"/>
                <w:color w:val="auto"/>
              </w:rPr>
            </w:pPr>
          </w:p>
        </w:tc>
      </w:tr>
      <w:tr>
        <w:trPr>
          <w:trHeight w:val="246"/>
        </w:trPr>
        <w:tc>
          <w:tcPr>
            <w:tcW w:w="3480" w:type="dxa"/>
            <w:vAlign w:val="bottom"/>
            <w:tcBorders>
              <w:right w:val="single" w:sz="8" w:color="CCEEFF"/>
            </w:tcBorders>
            <w:gridSpan w:val="2"/>
            <w:shd w:val="clear" w:color="auto" w:fill="CCEEFF"/>
          </w:tcPr>
          <w:p>
            <w:pPr>
              <w:ind w:left="140"/>
              <w:spacing w:after="0" w:line="246" w:lineRule="exact"/>
              <w:rPr>
                <w:sz w:val="20"/>
                <w:szCs w:val="20"/>
                <w:color w:val="auto"/>
              </w:rPr>
            </w:pP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26"/>
                <w:szCs w:val="26"/>
                <w:b w:val="1"/>
                <w:bCs w:val="1"/>
                <w:color w:val="auto"/>
                <w:vertAlign w:val="superscript"/>
              </w:rPr>
              <w:t>(5)</w:t>
            </w:r>
          </w:p>
        </w:tc>
        <w:tc>
          <w:tcPr>
            <w:tcW w:w="920" w:type="dxa"/>
            <w:vAlign w:val="bottom"/>
            <w:gridSpan w:val="2"/>
            <w:vMerge w:val="continue"/>
            <w:shd w:val="clear" w:color="auto" w:fill="CCEEFF"/>
          </w:tcPr>
          <w:p>
            <w:pPr>
              <w:spacing w:after="0"/>
              <w:rPr>
                <w:sz w:val="21"/>
                <w:szCs w:val="21"/>
                <w:color w:val="auto"/>
              </w:rPr>
            </w:pPr>
          </w:p>
        </w:tc>
        <w:tc>
          <w:tcPr>
            <w:tcW w:w="1000" w:type="dxa"/>
            <w:vAlign w:val="bottom"/>
            <w:tcBorders>
              <w:right w:val="single" w:sz="8" w:color="CCEEFF"/>
            </w:tcBorders>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tcBorders>
              <w:right w:val="single" w:sz="8" w:color="CCEEFF"/>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Repayment from (loans to) Group</w:t>
            </w: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322,030</w:t>
            </w:r>
          </w:p>
        </w:tc>
        <w:tc>
          <w:tcPr>
            <w:tcW w:w="4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(8,377)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(316,899)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(18,186)</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(22,453)</w:t>
            </w: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66,617</w:t>
            </w:r>
          </w:p>
        </w:tc>
        <w:tc>
          <w:tcPr>
            <w:tcW w:w="0" w:type="dxa"/>
            <w:vAlign w:val="bottom"/>
          </w:tcPr>
          <w:p>
            <w:pPr>
              <w:spacing w:after="0"/>
              <w:rPr>
                <w:sz w:val="1"/>
                <w:szCs w:val="1"/>
                <w:color w:val="auto"/>
              </w:rPr>
            </w:pPr>
          </w:p>
        </w:tc>
      </w:tr>
      <w:tr>
        <w:trPr>
          <w:trHeight w:val="187"/>
        </w:trPr>
        <w:tc>
          <w:tcPr>
            <w:tcW w:w="34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440,030</w:t>
            </w:r>
          </w:p>
        </w:tc>
        <w:tc>
          <w:tcPr>
            <w:tcW w:w="4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(26,563)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(7,498)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(22,453)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(316,899)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66,617</w:t>
            </w:r>
          </w:p>
        </w:tc>
        <w:tc>
          <w:tcPr>
            <w:tcW w:w="0" w:type="dxa"/>
            <w:vAlign w:val="bottom"/>
          </w:tcPr>
          <w:p>
            <w:pPr>
              <w:spacing w:after="0"/>
              <w:rPr>
                <w:sz w:val="1"/>
                <w:szCs w:val="1"/>
                <w:color w:val="auto"/>
              </w:rPr>
            </w:pPr>
          </w:p>
        </w:tc>
      </w:tr>
      <w:tr>
        <w:trPr>
          <w:trHeight w:val="198"/>
        </w:trPr>
        <w:tc>
          <w:tcPr>
            <w:tcW w:w="3480" w:type="dxa"/>
            <w:vAlign w:val="bottom"/>
            <w:tcBorders>
              <w:top w:val="single" w:sz="8" w:color="CCEEFF"/>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(repayment) under loan from</w:t>
            </w: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Group companies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(362,896)</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316,899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(199,800)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(227,293)</w:t>
            </w:r>
          </w:p>
        </w:tc>
        <w:tc>
          <w:tcPr>
            <w:tcW w:w="0" w:type="dxa"/>
            <w:vAlign w:val="bottom"/>
          </w:tcPr>
          <w:p>
            <w:pPr>
              <w:spacing w:after="0"/>
              <w:rPr>
                <w:sz w:val="1"/>
                <w:szCs w:val="1"/>
                <w:color w:val="auto"/>
              </w:rPr>
            </w:pPr>
          </w:p>
        </w:tc>
      </w:tr>
      <w:tr>
        <w:trPr>
          <w:trHeight w:val="187"/>
        </w:trPr>
        <w:tc>
          <w:tcPr>
            <w:tcW w:w="3480" w:type="dxa"/>
            <w:vAlign w:val="bottom"/>
            <w:tcBorders>
              <w:top w:val="single" w:sz="8" w:color="CCEEFF"/>
              <w:right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(191,423)</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(362,896)</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316,899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(227,293)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80" w:type="dxa"/>
            <w:vAlign w:val="bottom"/>
            <w:gridSpan w:val="2"/>
          </w:tcPr>
          <w:p>
            <w:pPr>
              <w:ind w:left="33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2"/>
          </w:tcPr>
          <w:p>
            <w:pPr>
              <w:ind w:left="33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3480" w:type="dxa"/>
            <w:vAlign w:val="bottom"/>
            <w:gridSpan w:val="2"/>
          </w:tcPr>
          <w:p>
            <w:pPr>
              <w:ind w:left="3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4"/>
                <w:szCs w:val="14"/>
                <w:b w:val="1"/>
                <w:bCs w:val="1"/>
                <w:color w:val="auto"/>
                <w:w w:val="96"/>
              </w:rPr>
              <w:t>VIEs</w:t>
            </w:r>
            <w:r>
              <w:rPr>
                <w:rFonts w:ascii="Times New Roman" w:cs="Times New Roman" w:eastAsia="Times New Roman" w:hAnsi="Times New Roman"/>
                <w:sz w:val="21"/>
                <w:szCs w:val="21"/>
                <w:b w:val="1"/>
                <w:bCs w:val="1"/>
                <w:color w:val="auto"/>
                <w:w w:val="96"/>
                <w:vertAlign w:val="superscript"/>
              </w:rPr>
              <w:t>*</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20" w:type="dxa"/>
            <w:vAlign w:val="bottom"/>
            <w:gridSpan w:val="2"/>
          </w:tcPr>
          <w:p>
            <w:pPr>
              <w:spacing w:after="0"/>
              <w:rPr>
                <w:sz w:val="14"/>
                <w:szCs w:val="14"/>
                <w:color w:val="auto"/>
              </w:rPr>
            </w:pPr>
          </w:p>
        </w:tc>
        <w:tc>
          <w:tcPr>
            <w:tcW w:w="980" w:type="dxa"/>
            <w:vAlign w:val="bottom"/>
            <w:tcBorders>
              <w:top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Borders>
              <w:right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(82,831)</w:t>
            </w:r>
          </w:p>
        </w:tc>
        <w:tc>
          <w:tcPr>
            <w:tcW w:w="4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468,047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tcBorders>
              <w:right w:val="single" w:sz="8" w:color="CCEEFF"/>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453,647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202,668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639,898</w:t>
            </w:r>
          </w:p>
        </w:tc>
        <w:tc>
          <w:tcPr>
            <w:tcW w:w="0" w:type="dxa"/>
            <w:vAlign w:val="bottom"/>
          </w:tcPr>
          <w:p>
            <w:pPr>
              <w:spacing w:after="0"/>
              <w:rPr>
                <w:sz w:val="1"/>
                <w:szCs w:val="1"/>
                <w:color w:val="auto"/>
              </w:rPr>
            </w:pPr>
          </w:p>
        </w:tc>
      </w:tr>
      <w:tr>
        <w:trPr>
          <w:trHeight w:val="246"/>
        </w:trPr>
        <w:tc>
          <w:tcPr>
            <w:tcW w:w="3480" w:type="dxa"/>
            <w:vAlign w:val="bottom"/>
            <w:tcBorders>
              <w:right w:val="single" w:sz="8" w:color="CCEEFF"/>
            </w:tcBorders>
            <w:gridSpan w:val="2"/>
            <w:shd w:val="clear" w:color="auto" w:fill="CCEEFF"/>
          </w:tcPr>
          <w:p>
            <w:pPr>
              <w:ind w:left="140"/>
              <w:spacing w:after="0" w:line="246" w:lineRule="exact"/>
              <w:rPr>
                <w:sz w:val="20"/>
                <w:szCs w:val="20"/>
                <w:color w:val="auto"/>
              </w:rPr>
            </w:pP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26"/>
                <w:szCs w:val="26"/>
                <w:b w:val="1"/>
                <w:bCs w:val="1"/>
                <w:color w:val="auto"/>
                <w:vertAlign w:val="superscript"/>
              </w:rPr>
              <w:t>(5)</w:t>
            </w: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tcBorders>
              <w:right w:val="single" w:sz="8" w:color="CCEEFF"/>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Repayment from (loans to) Group</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367,400</w:t>
            </w:r>
          </w:p>
        </w:tc>
        <w:tc>
          <w:tcPr>
            <w:tcW w:w="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(501,900)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(246,900)</w:t>
            </w:r>
          </w:p>
        </w:tc>
        <w:tc>
          <w:tcPr>
            <w:tcW w:w="0" w:type="dxa"/>
            <w:vAlign w:val="bottom"/>
          </w:tcPr>
          <w:p>
            <w:pPr>
              <w:spacing w:after="0"/>
              <w:rPr>
                <w:sz w:val="1"/>
                <w:szCs w:val="1"/>
                <w:color w:val="auto"/>
              </w:rPr>
            </w:pPr>
          </w:p>
        </w:tc>
      </w:tr>
      <w:tr>
        <w:trPr>
          <w:trHeight w:val="187"/>
        </w:trPr>
        <w:tc>
          <w:tcPr>
            <w:tcW w:w="33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948,413</w:t>
            </w:r>
          </w:p>
        </w:tc>
        <w:tc>
          <w:tcPr>
            <w:tcW w:w="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(501,900)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(493,089)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(124,448)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(246,900)</w:t>
            </w:r>
          </w:p>
        </w:tc>
        <w:tc>
          <w:tcPr>
            <w:tcW w:w="0" w:type="dxa"/>
            <w:vAlign w:val="bottom"/>
          </w:tcPr>
          <w:p>
            <w:pPr>
              <w:spacing w:after="0"/>
              <w:rPr>
                <w:sz w:val="1"/>
                <w:szCs w:val="1"/>
                <w:color w:val="auto"/>
              </w:rPr>
            </w:pPr>
          </w:p>
        </w:tc>
      </w:tr>
      <w:tr>
        <w:trPr>
          <w:trHeight w:val="198"/>
        </w:trPr>
        <w:tc>
          <w:tcPr>
            <w:tcW w:w="33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(repayment) under loan from</w:t>
            </w: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Group companies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124,448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 paid to intra-Group</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401,633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(995,707)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(1,029,439)</w:t>
            </w:r>
          </w:p>
        </w:tc>
        <w:tc>
          <w:tcPr>
            <w:tcW w:w="0" w:type="dxa"/>
            <w:vAlign w:val="bottom"/>
          </w:tcPr>
          <w:p>
            <w:pPr>
              <w:spacing w:after="0"/>
              <w:rPr>
                <w:sz w:val="1"/>
                <w:szCs w:val="1"/>
                <w:color w:val="auto"/>
              </w:rPr>
            </w:pPr>
          </w:p>
        </w:tc>
      </w:tr>
      <w:tr>
        <w:trPr>
          <w:trHeight w:val="187"/>
        </w:trPr>
        <w:tc>
          <w:tcPr>
            <w:tcW w:w="33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(995,707)</w:t>
            </w:r>
          </w:p>
        </w:tc>
        <w:tc>
          <w:tcPr>
            <w:tcW w:w="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(101,461)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(401,633)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526,081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(1,029,439)</w:t>
            </w:r>
          </w:p>
        </w:tc>
        <w:tc>
          <w:tcPr>
            <w:tcW w:w="0" w:type="dxa"/>
            <w:vAlign w:val="bottom"/>
          </w:tcPr>
          <w:p>
            <w:pPr>
              <w:spacing w:after="0"/>
              <w:rPr>
                <w:sz w:val="1"/>
                <w:szCs w:val="1"/>
                <w:color w:val="auto"/>
              </w:rPr>
            </w:pPr>
          </w:p>
        </w:tc>
      </w:tr>
      <w:tr>
        <w:trPr>
          <w:trHeight w:val="864"/>
        </w:trPr>
        <w:tc>
          <w:tcPr>
            <w:tcW w:w="3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0"/>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VIEs and</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Weibo</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Beneficiary of</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21"/>
                <w:szCs w:val="21"/>
                <w:b w:val="1"/>
                <w:bCs w:val="1"/>
                <w:color w:val="auto"/>
                <w:vertAlign w:val="super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adjustments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40" w:type="dxa"/>
            <w:vAlign w:val="bottom"/>
            <w:tcBorders>
              <w:right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(84,940)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288,381</w:t>
            </w:r>
          </w:p>
        </w:tc>
        <w:tc>
          <w:tcPr>
            <w:tcW w:w="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715,565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159,891</w:t>
            </w:r>
          </w:p>
        </w:tc>
        <w:tc>
          <w:tcPr>
            <w:tcW w:w="40" w:type="dxa"/>
            <w:vAlign w:val="bottom"/>
            <w:shd w:val="clear" w:color="auto" w:fill="CCEEFF"/>
          </w:tcPr>
          <w:p>
            <w:pPr>
              <w:spacing w:after="0"/>
              <w:rPr>
                <w:sz w:val="16"/>
                <w:szCs w:val="16"/>
                <w:color w:val="auto"/>
              </w:rPr>
            </w:pPr>
          </w:p>
        </w:tc>
        <w:tc>
          <w:tcPr>
            <w:tcW w:w="10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(406,077)</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672,820</w:t>
            </w:r>
          </w:p>
        </w:tc>
        <w:tc>
          <w:tcPr>
            <w:tcW w:w="0" w:type="dxa"/>
            <w:vAlign w:val="bottom"/>
          </w:tcPr>
          <w:p>
            <w:pPr>
              <w:spacing w:after="0"/>
              <w:rPr>
                <w:sz w:val="1"/>
                <w:szCs w:val="1"/>
                <w:color w:val="auto"/>
              </w:rPr>
            </w:pPr>
          </w:p>
        </w:tc>
      </w:tr>
      <w:tr>
        <w:trPr>
          <w:trHeight w:val="246"/>
        </w:trPr>
        <w:tc>
          <w:tcPr>
            <w:tcW w:w="3540" w:type="dxa"/>
            <w:vAlign w:val="bottom"/>
            <w:tcBorders>
              <w:right w:val="single" w:sz="8" w:color="CCEEFF"/>
            </w:tcBorders>
            <w:gridSpan w:val="2"/>
            <w:shd w:val="clear" w:color="auto" w:fill="CCEEFF"/>
          </w:tcPr>
          <w:p>
            <w:pPr>
              <w:ind w:left="140"/>
              <w:spacing w:after="0" w:line="246" w:lineRule="exact"/>
              <w:rPr>
                <w:sz w:val="20"/>
                <w:szCs w:val="20"/>
                <w:color w:val="auto"/>
              </w:rPr>
            </w:pPr>
            <w:r>
              <w:rPr>
                <w:rFonts w:ascii="Times New Roman" w:cs="Times New Roman" w:eastAsia="Times New Roman" w:hAnsi="Times New Roman"/>
                <w:sz w:val="18"/>
                <w:szCs w:val="18"/>
                <w:b w:val="1"/>
                <w:bCs w:val="1"/>
                <w:color w:val="auto"/>
              </w:rPr>
              <w:t>activities</w:t>
            </w:r>
            <w:r>
              <w:rPr>
                <w:rFonts w:ascii="Times New Roman" w:cs="Times New Roman" w:eastAsia="Times New Roman" w:hAnsi="Times New Roman"/>
                <w:sz w:val="26"/>
                <w:szCs w:val="26"/>
                <w:b w:val="1"/>
                <w:bCs w:val="1"/>
                <w:color w:val="auto"/>
                <w:vertAlign w:val="superscript"/>
              </w:rPr>
              <w:t>(5)</w:t>
            </w:r>
          </w:p>
        </w:tc>
        <w:tc>
          <w:tcPr>
            <w:tcW w:w="920" w:type="dxa"/>
            <w:vAlign w:val="bottom"/>
            <w:gridSpan w:val="2"/>
            <w:vMerge w:val="continue"/>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vMerge w:val="continue"/>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from (loans to) Group companies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(402,093)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553,246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(395,778)</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(499,033)</w:t>
            </w: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(736,846)</w:t>
            </w:r>
          </w:p>
        </w:tc>
        <w:tc>
          <w:tcPr>
            <w:tcW w:w="0" w:type="dxa"/>
            <w:vAlign w:val="bottom"/>
          </w:tcPr>
          <w:p>
            <w:pPr>
              <w:spacing w:after="0"/>
              <w:rPr>
                <w:sz w:val="1"/>
                <w:szCs w:val="1"/>
                <w:color w:val="auto"/>
              </w:rPr>
            </w:pPr>
          </w:p>
        </w:tc>
      </w:tr>
      <w:tr>
        <w:trPr>
          <w:trHeight w:val="187"/>
        </w:trPr>
        <w:tc>
          <w:tcPr>
            <w:tcW w:w="35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(797,871)</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(499,033)</w:t>
            </w:r>
          </w:p>
        </w:tc>
        <w:tc>
          <w:tcPr>
            <w:tcW w:w="2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(81,307)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88,119</w:t>
            </w:r>
          </w:p>
        </w:tc>
        <w:tc>
          <w:tcPr>
            <w:tcW w:w="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553,246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(736,846)</w:t>
            </w:r>
          </w:p>
        </w:tc>
        <w:tc>
          <w:tcPr>
            <w:tcW w:w="0" w:type="dxa"/>
            <w:vAlign w:val="bottom"/>
          </w:tcPr>
          <w:p>
            <w:pPr>
              <w:spacing w:after="0"/>
              <w:rPr>
                <w:sz w:val="1"/>
                <w:szCs w:val="1"/>
                <w:color w:val="auto"/>
              </w:rPr>
            </w:pPr>
          </w:p>
        </w:tc>
      </w:tr>
      <w:tr>
        <w:trPr>
          <w:trHeight w:val="198"/>
        </w:trPr>
        <w:tc>
          <w:tcPr>
            <w:tcW w:w="3540" w:type="dxa"/>
            <w:vAlign w:val="bottom"/>
            <w:tcBorders>
              <w:top w:val="single" w:sz="8" w:color="CCEEFF"/>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(repayment) under loan from</w:t>
            </w: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4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Group companies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808,664</w:t>
            </w:r>
          </w:p>
        </w:tc>
        <w:tc>
          <w:tcPr>
            <w:tcW w:w="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(255,418)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(553,246)</w:t>
            </w:r>
          </w:p>
        </w:tc>
        <w:tc>
          <w:tcPr>
            <w:tcW w:w="180" w:type="dxa"/>
            <w:vAlign w:val="bottom"/>
            <w:tcBorders>
              <w:right w:val="single" w:sz="8" w:color="CCEEFF"/>
            </w:tcBorders>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 paid to intra-Group companies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(406,077)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406,077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(4,871)</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0" w:type="dxa"/>
            <w:vAlign w:val="bottom"/>
          </w:tcPr>
          <w:p>
            <w:pPr>
              <w:spacing w:after="0"/>
              <w:rPr>
                <w:sz w:val="1"/>
                <w:szCs w:val="1"/>
                <w:color w:val="auto"/>
              </w:rPr>
            </w:pPr>
          </w:p>
        </w:tc>
      </w:tr>
      <w:tr>
        <w:trPr>
          <w:trHeight w:val="187"/>
        </w:trPr>
        <w:tc>
          <w:tcPr>
            <w:tcW w:w="35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26,561</w:t>
            </w:r>
          </w:p>
        </w:tc>
        <w:tc>
          <w:tcPr>
            <w:tcW w:w="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808,664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(406,077)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(260,289)</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(147,169)</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21,690</w:t>
            </w: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Weibo Technology is treated as the primary beneficiary of the VIEs for accounting purposes only.</w:t>
      </w:r>
    </w:p>
    <w:p>
      <w:pPr>
        <w:spacing w:after="0" w:line="23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the intercompany service charge at the consolidation level.</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the investment among Weibo Corporation, other subsidiaries and the primary beneficiary of VIEs.</w:t>
      </w:r>
    </w:p>
    <w:p>
      <w:pPr>
        <w:spacing w:after="0" w:line="230"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net assets and income (loss) between the primary beneficiary of VIEs and VIEs and VIEs’ subsidiaries.</w:t>
      </w:r>
    </w:p>
    <w:p>
      <w:pPr>
        <w:spacing w:after="0" w:line="230"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the elimination of intercompany balances among Weibo Corporation, other subsidiaries, the primary beneficiary of VIEs, and VIEs and VIEs’ subsidiaries.</w:t>
      </w:r>
    </w:p>
    <w:p>
      <w:pPr>
        <w:spacing w:after="0" w:line="378" w:lineRule="exact"/>
        <w:rPr>
          <w:rFonts w:ascii="Times New Roman" w:cs="Times New Roman" w:eastAsia="Times New Roman" w:hAnsi="Times New Roman"/>
          <w:sz w:val="14"/>
          <w:szCs w:val="14"/>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2024 and 2025, cash paid by the VIEs to Weibo Technology for technical service fees were US$757.8 million, US$769.0 million and US$706.4 million, respectively.</w:t>
      </w:r>
    </w:p>
    <w:p>
      <w:pPr>
        <w:spacing w:after="0" w:line="17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7100" w:hanging="652"/>
        <w:spacing w:after="0" w:line="493" w:lineRule="auto"/>
        <w:tabs>
          <w:tab w:leader="none" w:pos="3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ind w:left="660" w:right="6340" w:hanging="652"/>
        <w:spacing w:after="0" w:line="537" w:lineRule="auto"/>
        <w:tabs>
          <w:tab w:leader="none" w:pos="3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we face, organized under the headings. All the operational risks associated with being based in and having operations in mainland China as discussed in the risk factors under “Item 3. Key Information—D. Risk Factors—Risks Relating to Our Business” also apply to operations in Hong Kong. With respect to the legal risks associated with being based in and having operations in mainland China as discussed in the risk factors under “Item 3. Key Information—D. Risk Factors—Risks Relating to Our Corporate Structure” and “Item 3. Key Information—D. Risk Factors—Risks Relating to Doing Business in China,” the laws, regulations and the discretion of mainland China governmental authorities discussed in this annual report are expected to apply to mainland China entities and businesses, rather than entities or businesses in Hong Kong which operate under a different set of laws from mainland China. These risks are discussed more fully in “Item 3. Key Information—D.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9" w:lineRule="exact"/>
        <w:rPr>
          <w:sz w:val="20"/>
          <w:szCs w:val="20"/>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active user base, or if user engagement on our platform declines, our business, financial condition and operating results may be materially and adversely affected.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users and platform partners do not continue to contribute content or their contributions are not valuable to other users, we may experience a decline in user traffic and user engagement.</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partnership program with channel partners, which mainly include handset manufacturers and application marketplaces, to drive traffic to our platform, and if our partnership program becomes less effective, traffic to our platform could decline and our business and operating results could be adversely affected.</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effectively for user traffic or user engagement, our business and operating results may be materially and adversely affected.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or grow our revenues or our business.</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substantial majority of our revenues from online advertising and marketing services. If we fail to generate sustainable revenue and profit through our advertising and marketing services, our result of operations could be materially and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189" w:lineRule="exact"/>
        <w:rPr>
          <w:sz w:val="20"/>
          <w:szCs w:val="20"/>
          <w:color w:val="auto"/>
        </w:rPr>
      </w:pPr>
    </w:p>
    <w:p>
      <w:pPr>
        <w:jc w:val="both"/>
        <w:ind w:left="1000" w:hanging="317"/>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VIEs. We conduct our operations in China through our PRC subsidiaries, the VIEs with which we have maintained contractual arrangements and their subsidiaries in China. Investors thus are not purchasing the right to convert shares into direct equity interest in our operating entities in China but instead are purchasing the right to convert shares into equity interest in a Cayman Islands holding company. If the PRC government determines that the contractual arrangements constituting part of the VIE structure do not comply with PRC laws and regulations, or if these regulations or their interpretations change in the future, we could be subject to severe penalties or be forced to relinquish our interests in those operations. If the determinations, changes, or interpretations result in our inability to assert contractual control over the VIEs, our ADSs and/or Class A ordinary shares may decline in value or become worthless. Our holding company, our PRC subsidiaries,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For a detailed description of the risks associated with our corporate structure, please refer to risks disclosed under “Item 3. Key Information - D. Risk Factors—Risks Relating to Our Corporate Structure.”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189" w:lineRule="exact"/>
        <w:rPr>
          <w:sz w:val="20"/>
          <w:szCs w:val="20"/>
          <w:color w:val="auto"/>
        </w:rPr>
      </w:pPr>
    </w:p>
    <w:p>
      <w:pPr>
        <w:jc w:val="both"/>
        <w:ind w:left="1000" w:hanging="317"/>
        <w:spacing w:after="0" w:line="253"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 - D. Risk Factors—Risks Relating to Doing Business in China—The PRC government’s significant oversight and discretion over our business operation could result in a material adverse change in our operations and the value of our listed securities.”</w:t>
      </w:r>
    </w:p>
    <w:p>
      <w:pPr>
        <w:spacing w:after="0" w:line="146"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and Class A ordinary shares. For more details, see “Item 3. Key Information - D. Risk Factors— Risks Relating to Doing Business in China—Uncertainties in the interpretation and enforcement of PRC laws and regulations could limit the legal protections available to you and us.”</w:t>
      </w:r>
    </w:p>
    <w:p>
      <w:pPr>
        <w:spacing w:after="0" w:line="142"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and censorship of information disseminated over the internet in China may adversely affect our business and subject us to liability for information displayed on Weibo. For more detailed information, see “Item 3. Key Information— D. Risk Factors—Risks Relating to Doing Business in China—Regulation and censorship of information disseminated over the internet in China may adversely affect our business and subject us to liability for information displayed on Weibo.”</w:t>
      </w:r>
    </w:p>
    <w:p>
      <w:pPr>
        <w:spacing w:after="0" w:line="362"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PCAOB had historically been unable to inspect our auditor in relation to their audit work performed for our financial statements and the inability of the PCAOB to conduct inspections of our auditor in the past has deprived our investors with the benefits of such inspections. The delisting of the ADSs, or the threat of their being delisted, may materially and adversely affect the value of your investment. For more details,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93"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or the filing with the CSRC or other PRC government authorities may be required in connection with our future offshore listings and capital raising activities under PRC law, and, if required, we cannot predict whether or for how long we will be able to obtain such approval or filing. For more details, see “Item 3. Key Information—D. Risk Factors— Risks Relating to Doing Business in China—The approval of or the filing with the CSRC or other PRC government authorities may be required in connection with our future offshore listings and capital raising activities under PRC law, and, if required, we cannot predict whether or for how long we will be able to obtain such approval or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ADRs and Class A Ordinary Shares</w:t>
      </w:r>
    </w:p>
    <w:p>
      <w:pPr>
        <w:spacing w:after="0" w:line="229" w:lineRule="exact"/>
        <w:rPr>
          <w:sz w:val="20"/>
          <w:szCs w:val="20"/>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for our listed securities have been and are likely to continue to be, volatile, regardless of our operating performance, which could result in substantial losses to our investors.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different practices as to certain matters as compared with many other companies listed on the Hong Kong Stock Exchange.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Class A ordinary shares, ADSs, or other equity or equity-linked securities in the public market could cause the price of our Class A ordinary shares and/or ADSs to decline significantly.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grow our active user base, or if user engagement on our platform declines, our business, financial condition and operating results may be materially and adversely affected.</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growth of our active user base and the level of user engagement are critical to our business. We had 567 million MAUs and 252 million average DAUs in December 2025. Our business has been and will continue to be significantly affected by our success in growing and retaining massive active users and increasing their overall level of engagement on our platform, including their engagement with promoted feeds, other advertising and marketing products and value-added services on our platform. Due to the size and scale we have achieved, our user base experienced slight decrease, and may not grow as quickly as in the past years or at all. Our success will become increasingly dependent on our ability to retain existing users and enhance user activities and stickiness on the platform. If people do not perceive content and other products and services on our platform to be interesting and useful, we may not be able to retain and attract users or increase their engagement. A number of user-oriented websites and mobile applications that achieved early popularity have since seen their user bases or levels of engagement decline, in some cases precipitously. There is no guarantee that we will not experience a similar erosion of our active user base or engagement level. A number of factors could potentially negatively affect user growth and engagement, including if:</w:t>
      </w:r>
    </w:p>
    <w:p>
      <w:pPr>
        <w:spacing w:after="0" w:line="188" w:lineRule="exact"/>
        <w:rPr>
          <w:sz w:val="20"/>
          <w:szCs w:val="20"/>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retain existing users and attract new users to our platform, or achieve greater penetration into lower tier cities in China;</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decrease in the perceived quality or reliability of the content generated by our users;</w:t>
      </w:r>
    </w:p>
    <w:p>
      <w:pPr>
        <w:spacing w:after="0" w:line="21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influencers, such as celebrities, key opinion leaders, and other public figures, and platform partners, such as media outlets and organizations with media rights, switch to alternative platforms or use other products and services more frequently;</w:t>
      </w:r>
    </w:p>
    <w:p>
      <w:pPr>
        <w:spacing w:after="0" w:line="162"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manage and prioritize information to ensure users are presented with content that is appropriate, interesting, useful and relevant;</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and improved products or services or we introduce new or improved products or services that are not well received by users;</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prevent us from delivering our products or services in a rapid and reliable manner or otherwise adversely affect the user experience;</w:t>
      </w:r>
    </w:p>
    <w:p>
      <w:pPr>
        <w:spacing w:after="0" w:line="14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believe that their experience is diminished as a result of the decisions we make with respect to the frequency, relevance, prominence, format and quality of the advertisements displayed on our platform;</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or other hostile or inappropriate usage on our platform;</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user concerns related to privacy and communication, safety, security or other factors;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adequate customer service to our users;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engage with other platforms or activities instead of ours;</w:t>
      </w:r>
    </w:p>
    <w:p>
      <w:pPr>
        <w:spacing w:after="0" w:line="21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adverse changes in our products or services that are mandated by, or that we elect to make to address, legislation, regulations or government policies; or</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maintain our brand image or our reputation is damaged.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undertaken various initiatives to stimulate the growth of our users and user engagement. For instance, in addition to the microblogging service with which Weibo originally started, we have added functionalities such as Trends, Search, Recommendation Feed, Vote and Super Topic (a community product) and we have also enriched content formats from text and photo to short video and live streaming, which we believe have helped broaden our appeal and generate more user traffic and engagement. However, there can be no assurance that our strategies will continue to be effective. If we are unable to increase our user base and user engagement, our platform could be less attractive to potential new and existing users and customers, which would have a material and adverse impact on our business,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users and platform partners do not continue to contribute content or their contributions are not valuable to other users, we may experience a decline in user traffic and user engagement.</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provide users with interesting and useful content, which in turn depends on the content contributed by our users and platform partners. We believe that one of our competitive advantages is the quality, quantity and open nature of the content on Weibo, and that access to rich content is one of the main reasons users visit Weibo. We seek to foster a broader and more engaged user community, and we encourage influencers, such as celebrities, key opinion leaders and other public figures, and platform partners, such as multi-channel networks, media outlets and organizations with media rights, to use our platform to express their views and share interesting, and high quality content.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Influencers contribute a large proportion of the most popular content on our platform. We provide these content creators with the opportunity to monetize their social assets on Weibo through advertising, e-commerce, paid-subscription, tipping and other means. If content creators do not see significant value from their social marketing activities on Weibo and find monetization on Weibo inadequate, we may have to subsidize them through direct content cost payout, which may have an adverse and material impact on our business and operating results. Alternatively, content creators may choose to switch to other platforms and contribute less or no content to Weibo, which may cause our user base and user engagement to decline and our customers view our products and services less attractive for advertising and marketing purposes and consequently reduce their advertising spending on our platform.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users and platform partners do not continue to contribute content to Weibo due to policy changes, their use of alternative communication channels or any other reasons, and we are unable to provide users with interesting, useful and timely content, our user base and user engagement may decline. If we experience a decline in the number of users or the level of user engagement, customers may not view our products and services as attractive for their advertising and marketing expenditures and may reduce their spending with us, which would materially harm our business and operating results.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partnership program with channel partners, which mainly include handset manufacturers and application marketplaces, to drive traffic to our platform, and if our partnership program becomes less effective, traffic to our platform could decline and our business and operating results could be adversely affected.</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work with application (app) pre-install partners, such as key domestic handset manufacturers for user acquisition and activation. Due to intense competition in the marketplace, app pre-install partners may raise prices to a point where it becomes cost prohibitive for us to rely on them for Weibo user activation, or they may decide to discontinue their services to us altogether. The partnership also highly depends on the total amount of handset shipment and sales of our partners, which may fluctuate or slow down compared with prior years. The growth of Weibo’s user base is impacted by the growth of new users from Weibo app, and pre-installation of Weibo app on new handset is an important source of new Weibo users. A continuing slowdown of new handset shipment in China may adversely impact the growth rate of our new users. If this trend continues, our business and operating results may be materially and adversely affected.We also work with key domestic handset manufacturers on content recommendation to reactivate users acquired through channels and improve user activities on Weibo.</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work with application marketplaces, including app stores of key domestic handset manufacturers as well as other major application marketplaces, to drive downloads of our mobile applications. In the future, Google (Android), Apple or other operators of application marketplaces may make changes to their marketplaces and make access to our products and services more difficult.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for user traffic or user engagement, our business and operating results may be materially and adversely affected.</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Competition for user traffic and user engagement is intense and we face strong competition in our business. It is possible that a new product could gain rapid scale through harnessing a new technology (such as generative AI), or a new or existing distribution channel, creating a new or different approach to connecting people or some other means. Major Chinese internet companies, such as Tencent and Bytedance, compete directly with us for user traffic and user engagement, content, talent and marketing resources. As a social media featuring social networking services and messenger features, we are subject to intense competition from providers of similar services as well as potentially new types of online services. These services include (i) messengers and other social apps and sites, such as Weixin/WeChat; (ii) multimedia apps (such as photo, video and live streaming apps), such as Douyin/TikTok, Kuaishou, Bilibili, Xiaohongshu (also known as RedNote), iQiyi, Tencent Video and Youku; and (iii) news apps and sites operated by other major internet companies, such as Tencent and Bytedance. In addition, as a media platform in nature, we also compete with traditional media companies for audiences and content.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offer social commerce solutions to our customers that enable them to conduct e-commerce on our platform. Consequently, our offerings compete with e-commerce companies and online verticals that enable merchants to conduct e-commerce, including location-based services and online-to-offline services. We offer games on our platform and compete with both offline and online games for the time and money of game players. In addition to direct competition, we face indirect competition from companies that sponsor or maintain high traffic volume websites or provide an initial point of entry for internet users, including, but not limited to, providers of search services, web browser and navigation pages. We may also face competition from global social media, social networking services and messengers. Some of our competitors may have substantially more cash, traffic, technical and other resources than we do. We may be unable to compete successfully against these competitors or new market entrants, which may adversely affect our business and financial performance.</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effectively for user traffic and user engagement depends upon many factors both within and beyond our control, including:</w:t>
      </w:r>
    </w:p>
    <w:p>
      <w:pPr>
        <w:spacing w:after="0" w:line="148" w:lineRule="exact"/>
        <w:rPr>
          <w:sz w:val="20"/>
          <w:szCs w:val="20"/>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products and services compared to those of our competitors;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quality and timeliness of content aggregated on our platform;</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enable celebrities, key opinion leaders, media outlets and other content creators to quickly and efficiently build a fan base and monetize their social assets;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develop new products and services and enhancements to existing products and services to keep up with user preferences and demands;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relevance and relative prominence of the advertisements that we displayed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platform partners;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effective customer service and support;</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or that we elect to make to address, legislation, regulations or government policies, some of which may have a disproportionate effect on us;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or grow our revenues or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 growth depends on our ability to continue to grow our core businesses, newly developed businesses, as well as businesses we have acquired or which we consolidated. We are exploring and will continue to explore in the future new business initiatives, including in industries and markets in which we have limited or no experience, as well as new business models, that may be untested. Developing new businesses, initiatives and models requires significant investments of time and resources, and may present new and difficult technological, operational and compliance challenges. Many of these challenges may be specific to business areas with which we do not have sufficient experience. We may encounter difficulties or setbacks in the execution of various growth strategies and these growth strategies may not generate the returns we expect within the timeframe we anticipate, or at all.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declines in revenues and may continue to experience fluctuations or declines in revenues and the overall or segment revenue growth, for other reasons, including fluctuations in smartphone shipments and sales in China, increasing competition in social media, social networking, online marketing, and other businesses in which we engage, disruptions to China’s economy or the global economy from pandemics, natural disasters or other events, as well as changes in the geopolitical landscape, government policies or general economic conditions. As our revenues has reached a higher base level, our revenue has experienced growth rate slowdown and declines, and our revenues may further decline in the future. Furthermore, due to the size and scale we have achieved, our user base experienced slight decrease, and may not grow quickly or at all.</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generate a substantial majority of our revenues from online advertising and marketing services. If we fail to generate sustainable revenue and profit through our advertising and marketing services, our result of operations could be materially and adversely affected.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started to generate revenues in 2012 through advertising and marketing services, and to a lesser extent also through value-added services. Ever since then, advertising and marketing services have been contributing a substantial majority of our total revenues, accounting for 87%, 85% and 85% of our revenues in 2023, 2024 and 2025, respectively. Therefore, any failure to continue generating sustainable revenue and profit through our advertising and marketing services could materially harm our business.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Compared with traditional advertising and marketing solutions, online advertising and marketing services are evolving rapidly, driven by rapid technological advancements and shifting consumer behaviors, which can lead to challenges in maintaining consistent performance metrics, increased competition, and potential difficulties in predicting and adapting to market trends. In addition, we, as well as the whole industry, are endeavoring to develop novel forms of advertising and marketing services. As a result, we cannot guarantee that the advertising and marketing strategies we have adopted can generate sustainable revenues and profit. Particularly, as is common in the industry, our advertising and marketing customers do not have long-term commitments with us. In addition, some potential new customers may view our advertising and marketing services as unproven, and we may need to devote additional time and resources to convince them. Customers will not continue to do business with us or may only be willing to advertise with us at reduced prices if we do not deliver advertising and marketing services in an effective manner, or if they do not believe that their investment in advertising and marketing with us will generate a competitive return relative to alternative advertising platforms.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add new customers and increase spending of existing customers can be particularly affected by our ability to provide timely and reliable measurement analysis of customers’ advertising campaigns on Weibo, as some customers rely on advertisement measurement to evaluate advertising effectiveness. We are working with third-party measurement firms to provide these data services to our customers but the online advertisement measurement market in China is rapidly developing. We cannot assure you that our measurement partners will be able to provide measurement to the satisfaction of our customers. If our customers are unable to obtain measurement results on their marketing campaigns on Weibo to their satisfaction, our customers may be less willing to maintain or expand their advertising spending on our platform, and our financial conditions, results of operations and prospects may be materially and adversely affected.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need to adapt our advertising and marketing service offerings to the way users consume contents on our platforms. Users’ preferences on content format are also evolving. Online content in video format has become increasingly prevalent in recent years. If we are unable to adapt our products and services for the video environment and develop products and services to generate video advertising revenues, especially for the mobile environment, our results of operations and prospects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Advertisements shown on our platform may subject us to penalties and other administrative actions.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PRC advertising laws and regulations, we are obligated to monitor the advertising content shown on our platform to ensure that such content is true and accurate and in compliance with applicable PRC laws and regulations. PRC advertising laws and regulations impose prohibitions and restrictions on certain types of advertisements. For instance, advertisements for certain products, such as tobacco, are not allowed to be publicly posted, and advertisements for other products and services, such as alcohol, medical treatment, pharmaceuticals or medical devices, healthcare food, real estate and financial products, are subject to certain restrictions on content and other requirements. In addition, where a review by the governmental authorities is required before certain types of advertisements can be posted, such as advertisements for pharmaceuticals and medical devices, we are obligated to confirm that such review has been performed and approval has been obtained.</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Chinese government may from time to time promulgate new advertising laws and regulations, including possible additional restrictions on online advertising services, and these restrictions may relate to, among other attributes, the content, placement and appearance of advertisements. Pursuant to the Measures for the Administration of Internet Advertising issued by the State Administration for Market Regulation on February 25, 2023, which became effective on May 1, 2023, internet platform operators are required to prevent and stop illegal advertisements, and establish compliant and reporting mechanisms. Those who violate these measures may face fines, confiscation of illegal profits, business operation suspension, and revocation of licenses. For details, see “Item 4. Information on the Company—B. Business Overview—Regulation—Regulations on Advertisements.”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recent activities and technology trends in advertising, such as links in comments or posts, and the proliferation of short video and live streaming platforms, with paid promotions that are frequently not marked as advertising, have made advertising content monitoring more challenging. Moreover, technologies and tools attempting to circumvent, evade or deceive our advertisement content monitoring system are evolving, which makes it more complicated for us to monitor and review the advertisements on our platform. When we discover advertisements that violate laws and regulations, we will timely take corresponding measures. Although we have made significant efforts to ensure that the advertisements shown on our platform are in full compliance with currently effective and applicable PRC laws and regulations, we cannot ensure that we will be in compliance at all times with the requirements under any new laws and regulations such as the Measures for the Administration of Internet Advertising. Failure to comply with these obligations may subject us to fines and other administrative penalties.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advertisements shown on our platform are in violation of PRC advertising laws and regulations, we may be subject to penalties, including fines, confiscation of advertising income, orders to cease dissemination of the advertisements and orders to publish corrective information. In case of serious violation, the PRC governmental authorities may revoke our business licenses. The VIEs in the PRC have not received penalty in 2023, 2024 and 2025 for advertisements shown on our platform. However, there can be no assurance that there will not be any penalties in the future, which may have a material and adverse effect on our business, financial condition, results of operations and prospects, brand and reputation.</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for advertising and marketing spending, our business and operating results may be materially and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intense competition for users and user engagement, we also face significant competition for advertising and marketing spending. A substantial majority of our revenues are currently generated through advertising and marketing services. We compete against online and mobile businesses that offer such services, mainly including Tencent, Bytedance, Kuaishou, Baidu, Xiaohongshu (also known as RedNote), Bilibili and iQiyi. We also compete with internet companies that offer digital media tailored to specific vertical, such as Autohome, as well as other internet companies that offer online-to-offline service, purchase solutions and other performance-based advertising services. We also compete against traditional media outlets, such as television, radio, print and other offline advertising network, for advertising and marketing budgets.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grow our revenues and improve our operating results, we must increase our market share of advertising and marketing spending relative to our competitors, many of which are larger companies that offer more traditional and widely accepted advertising products. In addition, some of our larger competitors have substantially broader product or service offerings and leverage their relationships based on other products or services to gain additional share of advertising and marketing budgets.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ability to compete effectively for advertising and marketing spending depends upon many factors both within and beyond our control, including:</w:t>
      </w:r>
    </w:p>
    <w:p>
      <w:pPr>
        <w:spacing w:after="0" w:line="176" w:lineRule="exact"/>
        <w:rPr>
          <w:sz w:val="20"/>
          <w:szCs w:val="20"/>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composition and activeness of our user base relative to those of our competitors;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innovation and effectiveness of our product and service offerings;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our advertising and marketing products and services, including breadth, quality and variety of our advertisement formats and features and those of our competitors;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advertisement targeting capabilities, and those of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pricing and return on investment of our products and services relative to those of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reach, engagement and effectiveness of our advertising and marketing products and services relative to those of our competitors;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accuracy and utility of analytics and measurement solutions that we or our partners offered relative to those of our competitors;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performance-based advertisements and real-time bidding system relative to those of our competitors;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efforts, and those of our competitors;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the strength of our brand relative to our competitors.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Significant acquisitions and consolidation by and among our actual and potential competitors may present heightened competitive challenges for our business. Acquisitions of our platform partners by our competitors could result in reduced content and functionality of our products and services. Consolidation may also enable our larger competitors to offer bundled or integrated products that feature alternatives to our platform. Reduced content and functionality of our products and services, or our competitors’ ability to offer bundled or integrated products that compete directly with us, may cause our user base and user engagement to decline and customers to reduce their spending with us. If we are not able to compete effectively for advertising and marketing spending, our business and operating results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may not be the indicator of our future prospects.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social media is still evolving and may not develop as expected. People who are not our users, customers or platform partners may not understand the value of our products and services and new users, customers or platform partners may initially find our products and services confusing. There may be a perception that our products and services are only useful to users who post, or to influential users with large audiences. Convincing potential new users, customers and platform partners of the value of our products and services is critical to increasing the number of our users, customers and platform partners and to the success of our business. If microblogging, social media, online media or social product, in general, declines in popularity among Chinese internet users, we may be unable to grow our user base or maintain or increase user engagement.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launched Weibo in August 2009 and began to generate revenues in 2012. Given the rapidly evolving markets in which we compete, our historical operating results may not be useful to you in predicting our future operating results. You should consider our business and prospects in light of the risks and challenges we encounter or may encounter in this developing and rapidly evolving market. These risks and challenges include our ability to, among other things:</w:t>
      </w:r>
    </w:p>
    <w:p>
      <w:pPr>
        <w:spacing w:after="0" w:line="187"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our users and the level of user engagement;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reliable, scalable, secure, high-performance technology infrastructure that can efficiently handle increased usage;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of the benefits and effectiveness of our advertising and marketing services;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refine our interest-based recommendation engine to enable more relevant content recommendation and effective audience targeting;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demand for value-added services, such as membership, live streaming, and game-related services;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deploy new features, products and services for our users, customers and platform partners, including video functionalities and interest-based information feeds;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companies, some of which have substantially greater resources and market power than us, that are currently in, or may in the future enter, our industry, or duplicate the features of our products and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store, protect and use personal data in compliance with governmental regulations, contractual obligations and other obligations related to privacy and security;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ourselves against litigation, regulatory, intellectual property, privacy or other claims.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fail to educate potential users, customers and platform partners about the value of our products and services, if the market for our platform does not develop as we expect or if we fail to address the needs of this market, our business will be harmed. Failure to adequately address these or other risks and challenges could harm our business and cause our operating results to suffer.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Alibaba is a significant customer and an important strategic partner of ours. If we fail to maintain our collaboration with Alibaba, our results of operations and growth prospect may be adversely and materially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Alibaba is an important strategic partner, a major shareholder and a significant customer of ours since our IPO in 2014. We work closely with Alibaba, serving as an important marketing partner and jointly developing innovative marketing solutions for our customers. Additionally, we explore social e-commerce opportunities for their merchants. If we are unable to either maintain strong cooperation with Alibaba or find other customers that can bring in similar amount of revenues to offset the possible decline of revenue from Alibaba or the revenue associated with Alibaba’s ecosystem, our results of operations and growth prospects may be adversely and materially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depends in part on support from our platform partners, particularly copyright content providers and multi-channel networks.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Platform partners are an important source of high-quality content for our platform. We believe user engagement with our products and services depends in part on the quality of applications and content generated by our platform partners, particularly copyright content providers and the multi-channel networks. Copyright content providers have traditionally been an important source of premium content on our platform. Meanwhile, as video content has become an important part of content ecosystem, the role of multi-channel networks as talent agencies for professional content creators has become increasingly important. We have built a large network of multi-channel networks in different domains, such as video and e-commerce, and we rely on these platform partners to incubate and grow content creators so that they share more quality content on Weibo. If we are unable to enjoy continued collaboration with copyright content providers and expand our network of multi-channel networks and incentivize them to share more content, our content offerings may not be as robust and competitive, and our user base and user engagement may be adversely and materially affected.</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also work closely with third-party developers to build Weibo-integrated applications to enhance Weibo’s functionalities. Such existing and prospective developers may not be successful in building, growing, or monetizing mobile and/or web applications that create, maintain and enhance user engagement. Additionally, developers may choose to build on other platforms rather to integrate with Weibo. We are continually seeking to balance the distribution objectives of our developers with our desire to provide an optimal user experience, and we may not be successful in achieving a balance that continues to attract and retain such developers. If we are not successful in our efforts to continue to grow the number of developers that choose to build products that integrate with Weibo or if we are unable to continue to build and maintain good relationships with such developers, our user growth and user engagement and our financial results may be adversely and materially affected.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products, services and initiatives and changes to existing products, services and initiatives could fail to attract users and customers or generate revenues.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increase the size and engagement of our user base, attract customers and generate revenues will depend in part on our ability to successfully launch new products and services. We may introduce significant changes to our existing products and services or develop and introduce new products and services, including technologies with which we have little or no prior development or operating experience. If new or enhanced products or services fail to engage users, customers and platform partners, we may fail to attract or retain users or to generate sufficient revenues to justify our investments, and our business and operating results could be adversely affected. In addition, we may launch strategic initiatives that do not directly generate revenues but which we believe will enhance our attractiveness to users, customers and platform partners. We may not be successful in future efforts to generate revenues from our new products or services. If our strategic initiatives do not enhance our ability to monetize our existing products and services or enable us to develop new approaches to monetization, we may not be able to maintain or grow our revenues or recover any associated development costs and our operating results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execute our growth strategy, our business and operating results could be harmed.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operate our business in a rapidly evolving industry and highly competitive market, which will continue to place significant demands on our management, operational and financial resources to sustainably grow our business. We may encounter difficulties as we manage our operations, product development, sales and marketing, and general and administrative capabilities. We face significant competition for talented employees from other high-growth companies, which include both publicly traded and privately held companies, and we may not be able to hire new employees quickly enough to meet our needs. To attract highly skilled personnel, we have had to offer, and believe we will need to continue to offer, competitive compensation packages. In recent years, driven by the changes in macroeconomic environment, similar to many companies, we have and may continue to make adjustments to our staffing structure. This could impair our ability to motivate our current employee base or to attract highly skilled talents. In addition, as our business has reached a large scale, we may not be able to innovate or execute as quickly as a smaller and more efficient organization. If we fail to effectively manage our employee base and successfully integrate our new hires, our efficiency and ability to meet our forecasts and our employee morale, productivity and retention could suffer, and our business and operating results could be adversely affected.</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strive to broaden our user base, increase user engagement, and develop new features and products, we often have to proactively devote significant resources to accommodate future growth strategy and to meet market demand. If market condition changes or we misjudged future demand for features, products and content, however, we may incur high costs and expenses relative to our return, which could negatively affect our operating results. In addition, copyright content is costly and the competition for it is fierce. Mismanagement of copyright content purchase and usage, such as focus on content that turn out to be less popular or loss of valuable copyright content to competitors, may lead to a disproportional increase in expenses and adversely affect our business.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execution of our growth strategy could also strain our ability to maintain reliable service levels for our users and customers, develop and improve our operational, financial, legal and management controls, and enhance our reporting systems and procedures. Our expenses may grow faster than our revenues, and our expenses may be greater than what we anticipate. Managing our growth will require significant expenditures and allocation of valuable management resources. If we fail to achieve the necessary level of efficiency in our organization in executing our growth strategy, our business, operating results and financial condition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which makes it difficult to predict.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will fluctuate in the future. As a result, our past quarterly operating results are not necessarily indicators of future performance. Our operating results in any given quarter can be influenced by numerous factors, many of which we are unable to predict or are outside of our control, including:</w:t>
      </w:r>
    </w:p>
    <w:p>
      <w:pPr>
        <w:spacing w:after="0" w:line="183"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user base and user engagement;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advertising and marketing customers, including as a result of seasonality, major events and extraordinary news events, pandemics or other factors;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advertising and marketing customers;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planned or unplanned significant events, including events that may cause substantial stock-based compensation or other charges;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products or services or changes in features of existing products or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or competitive products and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revenues;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gross margins, operating margins and net margins;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costs and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which could prevent us from displaying advertisements for any period of time;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GAAP and the related policies, guidance or interpretations;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or proceedings, including with respect to security, privacy or enforcement by government regulators, including fines, orders or consent decrees;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Chinese or global business or macroeconomic conditions.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Given the rapidly evolving market in which we compete, our historical operating results may not be useful to you in predicting our future operating results. The advertising industry in China experiences seasonality. Historically, advertising spending tends to be the lowest in the first quarter of each calendar year due to long holidays around the Lunar New Year, and we believe that this seasonality affects our quarterly results. In addition, economic concerns continue to create uncertainty and unpredictability and add risk to our future outlook. An economic downturn in China or globally could cause our advertising and marketing customers to reduce their advertising budgets, and result in other adverse effects that could harm our operating results. Other factors that may cause our operating results to fluctuate include popular sports events, such as the FIFA World Cup and the Olympic Games. Any rapid growth or seasonal trends that we experienced in the past may not apply to, or be indicative of, our future operating results.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Spam could diminish the user experience on our platform, which could damage our reputation and deter our current and potential users from using our products and services.</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“Spam” on Weibo refers to a range of abusive activities that are prohibited by our terms of service and is generally defined as unsolicited actions that negatively impact other users with the general goal of drawing user attention to a given account, site, product or idea. This includes posting large numbers of unsolicited mentions of a user, duplicate feeds, misleading links (e.g., to malware or click-jacking pages) or other false or misleading content, and aggressively following and un-following accounts, sending unsolicited invitations, reposting feeds and favoring feeds to inappropriately attract attention. Our terms of service also prohibit the creation of serial or bulk accounts, both manually or using automation, for disruptive or abusive purposes, such as to post spam or to artificially inflate the popularity of users seeking to promote themselves on Weibo. Although we continue to invest resources in reducing spam on Weibo, we expect spammers to continue to seek ways to act inappropriately on our platform. In addition, we expect that increases in the number of users on our platform will result in increased efforts by spammers to misuse our platform. We continually combat spam, including by suspending or terminating accounts we believe to be spammers and launching algorithmic changes focused on curbing abusive activities. Our actions to combat spam require the diversion of significant time and focus of our engineering team from improving our products and services. If we are unable to effectively manage and reduce spam on Weibo, our reputation for delivering relevant content could be damaged, user engagement could decline and our operational costs could increase.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laws and regulations regarding regulatory matters, corporate governance and public disclosure that have increased both our costs and the risk of non-compliance.</w:t>
      </w:r>
    </w:p>
    <w:p>
      <w:pPr>
        <w:spacing w:after="0" w:line="1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U.S. Securities and Exchange Commission, which is charged with the protection of investors and the oversight of companies whose securities are publicly traded, the Securities and Futures Commission of Hong Kong, which is in charge of regulating Hong Kong’s securities and futures markets,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29, 2023, the Standing Committee of the National People’s Congress promulgated the Amended PRC Company Law, effective July 1, 2024, which will affect many critical aspects of corporate establishment, operations and governance of the corporate entities in China. Shareholders of a PRC company must fully pay in their subscribed registered capital within five years from the date of establishment of this company, and companies established before July 1, 2024 shall gradually adjust their capital contribution to meet this new requirement. This law also imposes greater personal liability for directors, supervisors and management. Violation of the PRC Company Law could subject us to sanctions and penalties, including fines, orders to correct and public announcements of violations. Uncertainties exist with respect to the interpretation and implementation of the PRC Company Law and how it may impact the viability of our current corporate structure, corporate governance and business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relating to our products and services and the use of user information could damage our reputation, deter current and potential users and customers from using Weibo and negatively impact our business.</w:t>
      </w:r>
    </w:p>
    <w:p>
      <w:pPr>
        <w:spacing w:after="0" w:line="1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collect personal data from our users in order to better understand our users and their needs and to help our customers target specific demographic groups. Concerns about the collection, use, disclosure or security of personal information or other privacy-related matters, even if unfounded, could damage our reputation, cause us to lose users and customers and adversely affect our operating results.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systems failure or compromise of our security that results in the unauthorized access to or release of our users’ or customers’ data could significantly limit the adoption of our products and services, as well as harm our reputation and brand and, therefore, our business. We strictly limit third-party developers’ access to user privacy and user data, and we expend significant resources on technology and product development to protect against leakage of user information and other security breaches. Nonetheless, given its great commercial value, our user data may still be misused by third parties, which could expose us to legal and regulatory risks and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15" w:lineRule="exact"/>
        <w:rPr>
          <w:sz w:val="20"/>
          <w:szCs w:val="20"/>
          <w:color w:val="auto"/>
        </w:rPr>
      </w:pPr>
      <w:r>
        <w:rPr>
          <w:rFonts w:ascii="Times New Roman" w:cs="Times New Roman" w:eastAsia="Times New Roman" w:hAnsi="Times New Roman"/>
          <w:sz w:val="18"/>
          <w:szCs w:val="18"/>
          <w:color w:val="auto"/>
        </w:rPr>
        <w:t>The PRC regulatory and enforcement regime with regard to data security and data protection is evolving. The PRC Civil Code, the PRC Cyber Security Law, the PRC Personal Information Protection Law, and the PRC Data Security Law protect individual privacy and personal data security in general by requiring internet service providers to collect data in accordance with the laws and in proper manner, and obtain consents from internet users prior to the collection, use or disclosure of internet users’ personal data. The Administrative Measures for Network Data Security, which came into effect on January 1, 2025, require all network data processors to identify and report the types of important data involved in their business. Additionally, network data processors handling personal information of more than 10 million individuals must comply with the same requirements as those handling important data, including designating and specifying personnel and management bodies responsible for data security, conducting regular data security risk assessments, and implementing data protection measures, among others. On November 22, 2025, the Cyberspace Administration of China released the draft Provisions on Personal Information Protection for Large Online Platforms, which would impose heightened obligations on platforms with more than 50 million registered users, 10 million monthly active users, or other characteristics indicating significant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risks. The draft requires designated large platforms to strengthen their personal information governance systems, appoint and publicly disclose a dedicated personal information protection officer, establish dedicated privacy management functions, and provide more convenient channels for individuals to exercise their personal information rights. As of the date of this annual report, this draft has not been formally adopted.</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Outbound Data Transfer Security Assessment Measures requires a data processor to apply for security assessment with the Cyberspace Administration of China before providing important data or personal information to overseas recipients under certain circumstances. The Personal Information Outbound Transfer Standard Contract Measures provide that the personal information processor who provides personal information to overseas recipients through execution of standard contract with such overseas recipient shall meet certain criteria, conduct a personal information protection impact assessment before providing any personal information to an overseas recipient, and complete the filing with local cybersecurity authority within ten working days from the effective date of the standard contract. The Provisions on Promoting and Regulating Cross-border Data Flows require following types of cross-border data transfers to go through security assessments, (i) for critical information infrastructure operators, the outbound transfer of personal information or important data, and (ii) for data processors that are not critical information infrastructure operators, the outbound transfer of important data or the outbound transfer of personal information of over one million people or sensitive personal information of over 10,000 people in aggregate since January 1 of the relevant year. See “Item 4. Information on the Company—B. Business Overview—Regulation—Regulations on Internet Security.” In addition, the PRC Cyber Security Law sets high requirements for the operational security of facilities deemed to be part of China’s “critical information infrastructure.” See “—Risks Relating to Doing Business in China—Substantial uncertainties exist with respect to the interpretation and implementation of cybersecurity related regulations and cybersecurity review as well as any impact these may have on our business operations.”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privacy concerns or regulatory restrictions prevent us from selling demographically targeted advertising, we may become less attractive to our customers. In Hong Kong, however, the Personal Data (Privacy) Ordinance provides that an internet company may not collect information about its users, analyze the information for a profile of the user’s interests and sell or transmit the profiles to third parties for direct marketing purposes without the user’s consent. In the European Union, the General Data Protection Regulation, which came into effect on May 25, 2018, present increased challenges and risks in relation to policies and procedures relating to data collection, storage, transfer, disclosure, protection and privacy, and will impose significant penalties for non-compliance, including for example, penalties calculated as a percentage of global revenue. The potential risks associated with non-compliance therewith are difficult to predict. Other jurisdictions may have similar prohibitions. Although less than 2% of our revenues in 2025 are generated in Hong Kong, the European Union, and other jurisdictions with similar prohibitions, we hope to attract more users in these jurisdictions and if we are unable to construct demographic profiles of internet users because they refuse to give consent, we will be less attractive to customers and our business could suffer.</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possibility of fines, enforcement actions can result in orders requiring us to change our practices, which could have an adverse effect on our business and operating results. Since January 2019, in order to better implement the PRC Cyber Security Law and the PRC Law for the Protection of Consumer Rights and Interests, PRC government departments launched several nationwide special rectification programs on the illegal collection and use of personal information by mobile apps each year. Weibo has examined its operation and rectified, and submitted the compliance reports as required under the Special Rectification Program of each year from 2019 to 2021. In September 2023, Beijing Communications Administration launched the cyber and data security inspection in telecom and internet industry and conducted an onsite inspection. We have completed the rectification and submitted the compliance report to the regulatory authority.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 laws or regulations concerning data protection and cross border data transfer, or the interpretation and application of existing laws or regulations, which is often uncertain and in flux, may be inconsistent with our practices. Complying with new laws, regulations and orders from competent governmental authorities could cause us to incur substantial costs or require us to change our business practices in a manner materially adverse to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if our products and services are subject to attacks that degrade or deny the ability of users to access our products and services, our products and services may be perceived as not being secure, users and customers may curtail or stop using our products and services and our business and operating results may be harmed.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products and services involve the storage and transmission of users’ and customers’ information, and security breaches expose us to a risk of loss of this information, litigation and potential liability. We experience cyber-attacks of varying degrees on a regular basis, including hacking into our user accounts and redirecting our user traffic to other websites, and we have been able to rectify attacks without significant impact to our operations in the past. Functions that facilitate interactivity with other websites, such as Weibo Connect, which among other things allows users to log in to partner websites using their Weibo identities, could increase the scope of access of hackers to user accounts.</w:t>
      </w:r>
    </w:p>
    <w:p>
      <w:pPr>
        <w:spacing w:after="0" w:line="1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security measures may also be breached due to employee error, malfeasance or otherwise. Additionally, outside parties may attempt to fraudulently induce employees, users or customers to disclose sensitive information in order to gain access to our data or our users’ or customers’ data or accounts, or may otherwise obtain access to such data or accounts.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our users and customers may use their Weibo accounts to establish and maintain online identities, unauthorized communications from Weibo accounts that have been compromised may damage their reputations and brands as well as ours. Any such breach or unauthorized access could result in significant legal and financial exposure, damage to our reputation and a loss of confidence in the security of our products and services that could have an adverse effect on our business and operating results.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could be harmed, we could lose users and customers and we may be exposed to significant legal and financial risks, including legal claims and regulatory fines and penalties. Any of these actions could have a material and adverse effect on our business, reputation and operating results.</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key operating metrics, and real or perceived inaccuracies in such metrics may harm our reputation and negatively affect our business.</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key operating metrics, including, but not limited to, the numbers of daily and monthly active users of Weibo, and average spending per advertiser, are calculated using internal company data that has not been independently verified. While these numbers are based on what we believe to be reasonable calculations for the applicable periods of measurement, there are inherent challenges in measuring usage and user engagement across our large user base. For example, there are a number of false or spam accounts in existence on Weibo. Although we continually combat spam by suspending or terminating these accounts, our active user number may include a number of false or spam accounts and therefore may not accurately represent the actual number of active accounts. We are also unable to estimate the number or percentage of spam accounts included in the numbers of daily and monthly active users of Weibo. We treat each account as a separate user for purposes of calculating our active users, because it may not always be possible to identify people and organizations that have set up more than one account. Additionally, some accounts used by organizations are used by many people within the organization. Accordingly, the calculations of our active users may not accurately reflect the actual number of people or organizations using Weibo. From time to time, we disable certain user accounts, make product changes, or take other actions to reduce the number of duplicate or false accounts among our users, which may also reduce the numbers of daily and monthly active users of Weibo in a particular period.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internal metrics to improve their accuracy. Our measures of user growth and user engagement may differ from estimates published by third parties or from similarly titled metrics used by our competitors due to differences in methodology. If customers, platform partners or investors do not perceive our user metrics to be accurate representations of our user base or user engagement, or if we discover material inaccuracies in our user metrics, our reputation may be harmed and customers and platform partners may be less willing to allocate their spending or resources to Weibo, which could negatively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sensitive to the strength of our brand and market influence, and we may not be able to maintain current or attract new users, customers and platform partners for our products and services if we do not continue to increase the strength of our brand and develop new brands successfully in the marketplace.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operational and financial performance is highly dependent on the strength of our brand and market influence. Such dependency will increase further as the number of internet and mobile users as well as the number of market entrants in China grows. In order to retain existing and attract new internet users, customers and platform partners, we may need to substantially increase our expenditures to create and maintain brand awareness and brand loyalty.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receive a high degree of media coverage in Chinese communities around the world. Negative coverage in the media of our company, including about our product quality and reliability, changes to our products and services, privacy and security practices, litigation, regulatory activity, the actions of our users, the experience of our users, platform partners and advertisers with our products and services, alleged misconduct by our employees or business partners, unethical business practices, or rumors relating to our business, management and employees, our shareholders and affiliates, our competitors and peers, even if inaccurate, could threaten our reputation and the perception of our brands. We cannot assure you that we will be able to defuse negative press coverage about our company to the satisfaction of our investors, users, customers and platform partners. If we are unable to defuse negative press coverage about our company, our brand may suffer in the marketplace, our operational and financial performance may be negatively impacted and the price of our Class A ordinary shares and/or ADSs may decline.</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User misconduct and inappropriate content may adversely impact our brand image, business and results of operations, and we may be held liable for information or content displayed on, retrieved from or linked to our app or website or distributed to our users.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platform enables users to discover, create, and distribute content and interact with others on our platform in real time. As it is difficult to control user behavior in real time, our platform may be misused by individuals or groups of individuals who engage in immoral, inappropriate, disrespectful, fraudulent or illegal activities. While we have developed technologies and a series of measures to detect inappropriate content and activities, we cannot guarantee that we will be able to fully prevent inappropriate content from being posted on our platform or inappropriate activities from being carried out on our platform. Moreover, as we have limited control over the offline behavior of our users, to the extent that such behavior is associated with our platform, our ability to protect our brand image and reputation may be limited. Our business and the public perception of our brand may be materially and adversely affected by misconduct conducted on or linked to our platform. It is possible that our users may engage in conversations or activities on our platform that may be deemed illegal under applicable laws and regulations. We may be subject to fines or other disciplinary actions, including suspension of certain services, if we are deemed to not have taken actions to stop user misconduct or the display of inappropriate or illegal content posted by third parties on our platform or distributed to our users. If any of our users suffers or alleges to have suffered physical, financial or emotional harm arising from any contact initiated on our platform, we may face civil lawsuits or other proceedings initiated by the affected user, or governmental or regulatory actions. Defending such actions could be costly and involve significant time and attention of our management and other resources, which could materially and adversely affect our business, financial condition, results of operations and prospects. There can be no assurance that we can detect all illegal or inappropriate content displayed on, retrieved from or linked to our platform. If we are held liable for any of the aforementioned incidents in the future, our business, financial condition and results of operations may be materially and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error and failure to follow laws, regulations and our corporate governance policies by our employees may adversely impact our brand image, reputation, business and results of operations, and we may be held liable for these inappropriate activities.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Misconduct, including illegal, fraudulent or collusive activities, unauthorized business conducts and behavior, misuse of corporate authorization, or errors by our employees or their failure to perform their duties could subject us to legal liability and negative publicity. Our employees may conduct fraudulent activities to bypass our internal systems and to complete shadow transactions and/or transactions outside our official or authorized procedures. They may conduct activities in violation of law against unfair competition, which may expose us to unfair competition allegations and risks or conduct activities that may damage our reputation, corporate culture or internal working environment. We have experienced such incidents in the past and may continue to experience or be subject to incidents of similar nature in the future. We terminated employment with the involved employees for serious misconducts and recovered our losses from those employees in certain cases. While we have been strengthening our code of conduct and related internal policies, including updating our employees’ code of conduct and anti-bribery policy, we cannot assure you that such incidents will not occur in the future. It is not always possible to identify and deter such misconduct, and the precautions we take to detect and prevent these activities may not be effective in controlling unknown or unmanaged risks or losses or in protecting us from governmental investigations or other actions or lawsuits stemming from a failure to prevent such misconduct. Such misconduct could damage our brand and reputation, which could adversely affect our business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review our goodwill and intangible assets for impairment when events or changes in circumstances indicate that the carrying value may not be recoverable, such as a decline in stock price and market capitalization. We test goodwill for impairment at least once a year.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goodwill or intangible assets is determined, which would negatively affect our results of operations. No impairment provision for goodwill and intangible assets was recorded in 2023, 2024 and 2025, respectively.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the total amount of our goodwill and intangible assets was US$265.6 million. A substantial portion of the goodwill and intangible assets arose from the acquisitions of Shanghai Jiamian Information Technology Co., Ltd. in 2020, the indirect acquisition of Shanghai Benqu Network Technology Co., Ltd., the developer of Wuta beauty camera app, in 2021, as well as the acquisitions of Xi’an Yunrui Network Technology Co., Ltd., the operator of an online interactive entertainment application “Werewolf,” in 2023. Therefore, we may have to reassess and even record impairment loss if the respective industry prospects deteriorate.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technologies could block our advertisements. Users of personal computers and mobile devices may enable technical measures that could hinder our traffic growth and limit our monetization opportunities.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Technologies have been developed that can disable the display of our advertisements and that provide tools to users to opt out of our advertising products. Most of our revenues are derived from fees paid to us by customers in connection with the display of advertisements to our users. Technologies and tools for personal computers and mobile devices, such as operating systems, internet browsers, anti-virus software and other applications, as well as mobile application stores could set up technical measures to divert user traffic, require a fee for the download of our products or block our products and services altogether, which could adversely affect our overall traffic and ability to monetize our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could suffer if we are unable to hire and retain key personnel.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continued contributions of our senior management and other key employees, many of whom are difficult to replace. The loss of the services of any of our executive officers or other key employees could harm our business. Competition for qualified talent in China is intense. Our future success is dependent on our ability to attract a significant number of qualified employees and retain existing key employees. If we are unable to do so, our business and growth may be materially and adversely affected and the trading price of our Class A ordinary shares and/or ADSs could suffer. Our need to significantly increase the number of our qualified employees and retain key employees may cause us to materially increase compensation-related costs, including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substantial stock-based compensation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share incentive plans in August 2010, March 2014 and March 2023. See “Item 6. Directors, Senior Management and Employees—B. Compensation—Share Incentive Plans” for a detailed discussion. For the years ended December 31, 2023, 2024 and 2025, we recorded US$101.1 million, US$69.7 million and US$42.1 million, respectively, in stock-based compensation expenses. We will continue to grant stock-based compensation in the future in order to attract and retain key personnel and employees. Consequently, our stock-based compensation expenses may be recurring and even significantly increase in absolute amount, which may have a material adverse effect on our results of operations. Issuance of Class A ordinary shares with respect to stock-based compensation may dilute the shareholding percentage of our existing shareholders.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and acquisitions of complementary assets, technologies and businesses may fail and may result in equity or earnings dilution.</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in the past and may continue to invest in or acquire assets, technologies and businesses that are complementary to our existing business. For example, on March 1, 2023, Weibo Holding (Singapore) Pte. Ltd., our wholly owned subsidiary, entered into a share purchase agreement with ShowWorld Holding Limited, an indirect subsidiary of SINA, pursuant to which Weibo Holding (Singapore) Pte. Ltd. purchased all equity interests in ShowWorld HongKong Limited, a wholly owned subsidiary of ShowWorld Holding Limited and an entity holding 332,615,750 shares of INMYSHOW Digital Technology (Group) Co., Ltd. for an aggregate consideration of approximately RMB2.16 billion in cash, payable in U.S. dollars. INMYSHOW Digital Technology (Group) Co., Ltd. is a Shanghai Stock Exchange-listed company (SSE: 600556). We beneficially owned 480,342,364 shares of INMYSHOW Digital Technology (Group) Co., Ltd., representing approximately 26.57% of its total issued shares, immediately following the consummation of this transaction and taking into account our existing shareholding.</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investments or acquisitions may not yield the results we expect. In addition, investments and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PRC governmental authorities for the investments and acquisitions and comply with any applicable PRC rules and regulations, which may be costly. Our investments and acquisitions may also be subject to merger control review and antitrust investigations under the PRC Anti-Monopoly Law, the Provisions on the Review of Concentrations of Undertakings and other PRC anti-monopoly laws, regulations and guidance. In the event that our investments and acquisitions are not successful, our financial condition and results of operations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adversely affected by our long-term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periodically review our investments in publicly traded companies, privately held companies, and limited partnerships for impairment. If we conclude that any of these investments is impaired, we will write down the asset to its fair value and take a corresponding charge to our consolidated statements of comprehensive income. For the fiscal years ended December 31, 2023, 2024 and 2025, we recognized impairment charges of US$25.7 million, US$38.7 million and US$6.0 million, respectively, on the carrying value of our long-term investments. We may continue to incur impairment charges in the future, which could depress our profitability or subject us to incur a net loss.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2025, our long-term investments included US$1,120.1 million in private companies, which may not have the resources nor level of controls in place like public companies to timely and accurately provide updates about their companies to us. Furthermore, many of our investments are at an early, pre-revenue stage of development, and their impairment may be difficult to assess as market information on internet-related startups is not readily available. After our adoption of ASU 2016-01 “Classification and Measurement of Financial Instruments” starting January 1, 2018, we measure long-term investments other than equity method investments at fair value through earnings. Our investments other than equity method are subject to a wide variety of market related risks that could substantially reduce or increase the fair value of our holdings. For example, identification of observable price change in orderly transaction for those investments without readily determinable fair value may result in our recognition of gain or loss on such investments.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Determination of estimated fair value of these investments require complex and subjective judgments due to their limited financial and operating history, unique business risks and limited public information. While we have not experienced adjustments to our fair value estimates in the past, it is possible that new information comes to light related to our investment holdings in the future, and such adjustments could be material. We recognized a net gain of US$21.3 million for long-term investments in 2025 as a result of fair value changes. We are unable to control these factors and an impairment charge that we recognized, especially untimely recorded, may adversely impact our financial results and share price.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an investment company under the Investment Company Act of 1940, applicable restrictions could have a material adverse effect on our business and the price of our ADSs and Class A ordinary shares.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an “investment company” and do not intend to become registered as an “investment company” under the Investment Company Act of 1940, or the Investment Company Act. Generally, a company is an “investment company” if it is or holds itself out as being engaged primarily in the business of investing, reinvesting or trading in securities or owns or proposes to own investment securities having a value exceeding 40% of the value of its total assets (exclusive of U.S. government securities and cash items) on an unconsolidated basis, unless an exception, exemption or safe harbor applies. We do not hold ourselves out as being primarily engaged, or proposing to engage primarily, in the business of investing, reinvesting or trading in securities. Rather, we are primarily engaged in the business of operating a social media platform in China for people to create, discover and distribute content. As of December 31, 2025, our investment securities represented less than 40% of the value of our total assets (exclusive of U.S. government securities and cash items) on an unconsolidated basis calculated in accordance with Section 3(a)(1)(C) of the Investment Company Act. We intend to continue to conduct our operations so that we will not be deemed an investment company.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at any time, we become or are determined to be primarily engaged in the business of investing, reinvesting or trading in securities, we could become subject to regulation under the Investment Company Act. If we were to become subject to the Investment Company Act, any violation of the Investment Company Act could subject us to material adverse consequences, including potentially significant regulatory penalties and the possibility that certain of our contracts would be deemed unenforceable. Additionally, as a foreign private issuer, we would not be eligible to register under the Investment Company Act. Accordingly, we would either have to obtain exemptive relief from the SEC, modify our contractual rights or dispose of investments in order to fall outside the definition of an investment company, each of which may have a material adverse effect on our company. Additionally, we may have to forego potential future acquisitions of interests in companies that may be deemed to be investment securities within the meaning of the Investment Company Act. Finally, failure to avoid being deemed an investment company under the Investment Company Act could also make us unable to comply with our reporting obligations as a public company in the United States and lead to our being delisted from The Nasdaq Stock Market LLC, which would have a material adverse effect on the liquidity and value of our ADSs and ordinary shares.</w:t>
      </w:r>
    </w:p>
    <w:p>
      <w:pPr>
        <w:spacing w:after="0" w:line="17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sufficient cash when we need it, we may not be able to meet our payment obligations under our outstanding and future debt obligations.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outstanding principal amount of our 3.375% senior notes due 2030, which were issued in July 2020, or the 2030 Senior Notes, and our 1.375% convertible senior notes due 2030, which were issued in December 2023, or the 2030 Convertible Notes, were US$750 million and US$330 million, respectively.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2022, we signed a five-year US$1.2 billion term and revolving facilities agreement with a group of 23 arrangers. The facilities consist of a US$900 million five-year bullet maturity term loan and a US$300 million five-year revolving facility. Each loan bears a floating rate of interest per annum benchmarked against secured overnight financing rate (SOFR) plus 1.28%. We refer to these together as the 2027 Loans. We fully drew down the US$900 million bullet maturity term loan as of December 31, 2025, and repaid a US$100 million bullet maturity term loan in the fourth quarter of 2023. We repaid the US$5 million previously borrowed under the revolving facility in the third quarter of 2025 and subsequently cancelled the revolving facility. The proceeds from the facilities were used for refinancing of the indebtedness existing then, general corporate purposes and payment of transaction related fees and expenses.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Holders of our 2030 Convertible Notes have the right to require us to repurchase their notes on December 6, 2027. In addition, our 2030 Convertible Notes contain provisions concerning the holders’ right to require us to repurchase their notes upon the occurrence of a fundamental change (as defined in the terms of such notes), as well as provisions regarding our ability to redeem the existing notes in case of certain changes in tax law. The indenture for our 2030 Convertible Notes defines a “fundamental change” to include, among other things, our ADSs ceasing to be listed for trading on any of the New York Stock Exchange, The Nasdaq Global Market or The Nasdaq Global Select Market. For example, our ADSs may be prohibited from being traded in the United States under the HFCAA in the future due to regulatory reasons and our ADSs may cease to be listed as a result, which in turn may trigger a fundamental change. See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SINA defaults under the facility agreement governing SINA’s loan and the security agent enforces its rights and remedies against the pledge of SINA’s Class B ordinary shares, SINA will no longer be a controlling shareholder of our company. As a result, the Class B ordinary shares previously held by SINA will be converted to Class A ordinary shares which do not have weighted voting rights. If any person or group (other than the Permitted Holders) subsequently becomes the direct or indirect “beneficial owner” of the ordinary shares of our company (including Class A ordinary shares held in the form of ADSs) representing more than 50% of the voting power of all outstanding classes of our company’s common equity, a fundamental change may occur. For further discussions of SINA’s loan and its implications on our company, see “—SINA has pledged half of the Class B ordinary shares held by it in our company to secure a syndicate loan and might from time to time pledge additional Class B ordinary shares held by it in our company. The potential default by SINA on the underlying loans or the potential for SINA to pledge additional Class B ordinary shares in our company poses a risk of change in control.”</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occurrence of a fundamental change, holders of our 2030 Convertible Notes will have the right, at their option, to require us to repurchase all of their 2030 Convertible Notes or any portion of the principal amount at a repurchase price equal to 100% of the principal amount of the notes to be repurchased, plus accrued and unpaid interest, if any. In the event of a fundamental change, we may also be required to issue additional ADSs upon conversion of our 2030 Convertible Notes.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pay interest and repay the principal for our indebtedness is dependent upon our ability to manage our business operations, generate sufficient cash flows, raise additional capital and the other factors discussed in this section. There can be no assurance that we will be able to manage any of these risks successfully. If we are unable to obtain funding in a timely manner or on commercially acceptable terms, we may not be able to meet our payment obligations under our debt obligations. If we fail to pay interest on the notes, we will be in default under the indenture governing the notes, which in turn may constitute a default under existing and future agreements governing our indebtedness.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holding company, and we rely principally on dividends and other distributions from our PRC subsidiaries for our cash needs, including the funds necessary to help us meet our payment obligations under the notes and our other obligations. Our subsidiaries are distinct legal entities and do not have any obligation, legal or otherwise, to provide us with distributions or advances. Furthermore, under PRC laws and regulations, our PRC subsidiaries and VIEs are subject to certain restrictions with respect to paying dividends or otherwise transferring any of their net assets to us. Remittance of dividends by a wholly foreign-owned enterprise out of China is also subject to examination by the banks designated by SAFE. For risks relating to the fund flows of our operations in China, see “Item 3. Key Information—D. Risk Factors—Risks Relating to Doing Business in China—Any limitation on the ability of our PRC subsidiaries to make payments to us, or the tax implications of making payments to us, could have a material adverse effect on our ability to conduct our business or our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incur additional indebtedness in the future. The incurrence of indebtedness would result in increased fixed obligations and could result in operating covenants that would restrict our operations. Our current and future debt obligations require us to dedicate a portion of our cash flow to principal and interest payments and may limit our ability to engage in other transactions. We may require additional capital and cash resources to support our business growth or to respond to business opportunities, challenges, business development or unforeseen circumstances. Our ability to obtain additional capital, if and when required, will depend on our business plans, investor demand, our operating performance, the condition of the capital markets, and other factors beyond our control, such as economic, political and other conditions in the PRC and elsewhere, and our indebtedness may limit our ability to borrow additional funds. We may have difficulty incurring new debt on terms that we would consider to be commercially reasonable. In addition, we may also need to refinance a portion or all of our outstanding debt as it matures. There is a risk that we may not be able to refinance existing debt or that the terms of any refinancing may not be as favorable as the terms of our existing debt. We may seek to issue equity or equity linked securities or obtain debt financing in the future, and the issuance and sale of additional equity would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remain in compliance with certain covenants in our term and revolving facilities agreement governing our 2027 Loans before maturity, certain financial restrictions may be imposed on us.</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facilities agreement governing our 2027 Loans contains certain financial covenants over the ratio of our consolidated net debt to consolidated EBITDA and the ratio of our consolidated EBITDA to consolidated interest expenses. As of December 31, 2025, we were in compliance of these covenants. Our ability to comply with financial or other restrictive covenants under the facilities agreement governing our 2027 Loans may be affected by factors beyond our control, including prevailing economic, financial and industry conditions. In the event that we fail to comply with any of these covenants, we may be required to negotiate a waiver if we want to avoid technical default. We cannot assure you that we would be able to obtain such waiver in a timely manner, on acceptable terms or at all. If we were not able to obtain the waiver, we would be in default of the facilities agreement governing our 2027 Loans, and the counterparties could elect to declare the loan, together with accrued and unpaid interest and other fees, if any, immediately due and payable. If the 2027 Loans were to be accelerated, even though we believe that our assets would be sufficient to repay our loans in full, our business and liquidity could be materially and adversely impacted. In addition, such waiver, even if granted, may lead to increased costs, increased interest rates, additional restrictive covenants and other available counterparty protections that would be applicable to us under the credit facilities, which could adversely affect our business, financial condition, results of operations and our ability to obtain additional capital resources.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contain open source software, and we license some of our software through open source projects, which may pose particular risks to our proprietary software, products, and services in a manner that could have a negative effect on our business.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use open source software in our products and services and will use open source software in the future. In addition, from time to time, we contribute software source code to open source projects under open source licenses or release internal software projects under open source licenses, and anticipate doing so in the future. The terms of many open source licenses to which we are subject have not been interpreted by domestic or foreign courts, and there is a risk that open 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cause us to be less competitive.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seek court declarations that they do not infringe upon our intellectual property rights, or allege that certain of our products and services, or user content, infringe their intellectual property rights. Monitoring unauthorized use of our intellectual property is difficult and costly, and we cannot be certain that the steps we have taken will prevent misappropriation of our intellectual property. From time to time, we may have to resort to litigation to enforce or defend our intellectual property rights, which could result in substantial costs and diversion of our resources.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by third parties, which may materially and adversely affect our business, financial condition and prospects.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Companies in the internet, technology and media industries are frequently involved in litigation based on allegations of infringement of intellectual property rights, unfair competition, invasion of privacy, infringement of trade secrets, defamation, and other violations of other parties’ rights. In addition, various “non-practicing entities” that own patents and other intellectual property rights often attempt to aggressively assert their rights in order to extract value from technology companies. The validity, enforceability and scope of protection of intellectual property rights in internet-related industries, particularly in China, are uncertain and still evolving. As we face increasing competition and as litigation becomes more common in resolving commercial disputes, we, including, but not limited to, our PRC subsidiaries, VIEs, directors and officers, face a higher risk of being the subject of intellectual property infringement claims in and outside of China. Furthermore, from time to time we may introduce or acquire new products or services, including in areas where we historically have not competed, which could increase our exposure to patent and other intellectual property claims from competitors and non-practicing entities.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allow users to upload written materials, images, pictures and other content on our platform and download, share, link to and otherwise access games and applications (some of which are developed by third parties) as well as audio, video and other content either on our platform or from other websites through our platform. We have procedures designed to reduce the likelihood that content might be used without proper licenses or third-party consents. However, these procedures may not be effective in preventing the unauthorized posting of copyrighted content. We have been and we may continue to receive notice from copyright holders and other parties alleging that user content, or certain of our products and services, infringe their intellectual property rights, and may be involved in legal actions arising from these allegations. Any such legal proceedings, whether or not successful, could harm our reputation. If a claim is successfully made against us, we may be required to pay significant damages, which could have a material adverse effect on our financial condition and results of operations. As a public company listed in the U.S., we and our directors and officers have also been, and may continue to be, involved in claims or lawsuits in the U.S. or other jurisdictions relating to alleged IP infringement or misappropriation. If any of these claims is successfully made against us, we may be required to (i) pay substantial statutory or other damages and fines, (ii) remove relevant content from our platform, or (iii) enter into royalty or license agreements which may not be available on commercially reasonable terms or at all.</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be subject to legal, regulatory and/or administrative proceedings in the future incidental to our ordinary course of business. There can be no assurance that we will be able to prevail in our defense or reverse any unfavorable judgment, ruling or decision against us. In addition, we may decide to enter into settlements that may adversely affect our results of operations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games and applications available on our platform, we have procedures designed to reduce the likelihood of infringement. However, such procedures might not be effective in preventing games and applications, particularly those developed by third parties, from infringing upon other parties’ rights. We may face liability for copyright or trademark infringement, defamation, unfair competition, libel, negligence, and other claims based on the nature and content of the materials that are delivered, shared or otherwise accessed through our platform.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Defending intellectual property litigation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User growth and engagement depend upon effective interoperation with operating systems, networks, devices, web browsers and standards that we do not control.</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make our products and services available across a variety of operating systems and through websites. We are dependent on the interoperability of our products and services with popular devices, desktop and mobile operating systems and web browsers that we do not control, such as Windows, Mac OS, Android, iOS, and others. Any changes in such systems, devices or web browsers that degrade the functionality of our products and services or give preferential treatment to competitive products or services could adversely affect usage of our products and services. Further, if the number of platforms for which we develop our products increases, it will result in an increase in our costs and expenses. In order to deliver high quality products and services, it is important that our products and services work well with a range of operating systems, networks, devices, web browsers and standards that we do not control. In addition, because a majority of our users access our products and services through mobile devices, we are particularly dependent on the interoperability of our products and services with mobile devices and operating systems. We may not be successful in developing relationships with key participants in the mobile industry or in developing products or services that operate effectively with these operating systems, networks, devices, web browsers and standards. In the event that it is difficult for our users to access and use our products and services, particularly on their mobile devices, our user growth and user engagement could be harmed, and our business and operating results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fixed telecommunications networks in China.</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Almost all access to the internet in China is maintained through state-owned telecommunication operators under the administrative control and regulatory supervision of the Ministry of Industry and Information Technology.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China’s internet traffic continues to grow rapidly. In core cities like Beijing, energy consumption quotas for new data centers are strictly controlled, and premium cabinet resources with low PUE (Power Usage Effectiveness) and high power density are relatively constrained. With the development of our business, we may be required to upgrade our technology and infrastructure to keep up with the increasing traffic on our platform. We had not experienced material disruptions to our business operations as a result of service capacity constraints for the years ended December 31, 2023, 2024 and 2025. However, we cannot assure you that the internet infrastructure and the fixed telecommunications networks in China will be able to support the demands associated with the continued growth in internet usage. If we are unable to increase our online content and service delivering capacity accordingly, we may not be able to continually grow our traffic, and the adoption of our products and services may be hindered, which could adversely impact our business and our share price.</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no control over the costs of the services provided by telecommunication service providers. If the prices we pay for telecommunications and internet services rise significantly, our results of operations may be materially and adversely affected. Furthermore, if internet access fees or other charges to internet users increase, particularly as content shifts toward video, some users may be prevented from accessing the internet and thus cause the growth of internet users to decelerate. Such deceleration may adversely affect our ability to continue to expand our user base and increase our attractiveness to online customers.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One of the reasons people come to Weibo is for real-time information. We have experienced, and may in the future experience, service disruptions, outages and other performance problems due to a variety of factors, including infrastructure changes, human or software errors, hardware failure, capacity constraints due to an overwhelming number of people accessing our products and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the number of our users increases and our users generate more content, including photos and videos on our platform, we may be required to expand and adapt our technology and infrastructure to continue to reliably store and analyze this content. It may become increasingly difficult to maintain and improve the performance of our products and services, especially during peak usage times, as our products and services become more complex and our user traffic increases. In addition, because we lease our data center facilities, we cannot be assured that we will be able to expand our data center infrastructure to meet user demand in a timely manner, or on favorable economic terms, or at all. We rely on third-party vendors, and to a lesser extent, our controlling shareholder SINA, to provide infrastructure services. We cannot assure you that their infrastructure will operate without interruptions and that we can maintain a relationship with these parties on favorable economic terms. If our users are unable to access Weibo or we are not able to make information available rapidly on Weibo, or at all, users may become frustrated and seek other channels to obtain the information, and may not return to Weibo or use Weibo as often in the future, or at all. This would negatively impact our ability to attract users and customers and maintain the level of engagement of our users.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prioritize product innovation and user experience over short-term operating results, which may harm our revenues and operating results.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encourage employees to quickly develop and help us launch new and innovative features. We focus on improving the user experience for our products and services and on developing new and improved products and services for the customers on our platform. We prioritize innovation and the experience for users and customers on Weibo over short-term operating results. We frequently make product and service decisions that may reduce our short-term operating results if we believe that the decisions are consistent with our goals to improve the user experience and performance for customers,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customers and our business and operating results could be adversely and materially harmed. In addition, our focus on the user experience may negatively impact our relationships with our existing or prospective customers. This could result in a loss of customers and platform partners, which could adversely and materially harm our revenues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lawsuits or incur liability as a result of content published, made available through, or linked to our social media platform.</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social media platform, we have faced and will continue to face liability relating to content that is published, made available through, or linked to our platform. In particular, the nature of our business exposes us to claims related to defamation, intellectual property rights, rights of publicity and privacy, illegal content, content regulation and personal injury torts. The law relating to the liability of providers of online products or services for activities of their users remains somewhat unsettled in China. In addition, the public nature of communications on our platform exposes us to risks arising from the creation of impersonation accounts intended to be attributed to our users or customers. We could incur significant costs investigating and defending these claims. If we incur costs or liability as a result of these events, our business, financial condition and operating results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user-generated content provided on our platform, which may be time-consuming and costly to defend.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platform is open to the public for posting user-generated content. Although we have required our users to post only legally compliant and inoffensive materials and have set up screening procedures, our screening procedures may fail to screen out all potentially offensive or non-compliant user-generated content. Even if properly screened, a third party may still find user-generated content postings on our platform offensive and take actions against us in connection with the posting of such information. As with other companies who provide user-generated content on their websites, we have had to deal with such claims in the past and anticipate that such claims will increase as user-generated content becomes more popular in China. Any such claim, with or without merit, could be time-consuming and costly to defend, and may result in litigation and divert management’s attention and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certain risks related to financial products available on our Weibo wallet.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Weibo wallet enables users to purchase different types of financial products and services, including micro-loan facilitation offered by our related party, insurance, funds and other financial services offered by Weibo’s business partners who are third parties with necessary licenses. The Chinese laws and regulations on internet finance have been developing rapidly in recent years. To ensure the services provided on Weibo wallet remain in compliance with PRC laws and regulations on internet finance services, we have made certain adjustments to the services available through Weibo wallet from time to time over the past several years.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financial services industry is highly regulated in China. For example, on March 28, 2018, the Internet Financing Risks Special Rectification Work Leading Group under the State Council issued a Notice on Strengthening the Rectification and Inspection of Asset Management Operations via Internet, which requires any entity that issues or sells fund and asset management products via the internet to obtain an asset management business license or asset management product sales license issued by the central financial management department. We have engaged third parties with necessary operating licenses to provide the services and products legally. After our adjustments, Weibo wallet now acts as a platform for, instead of an operator of, the financial products, including micro-loan facilitation offered by our related party, insurance, funds and other financial services offered by Weibo’s business partners who are third parties with necessary licenses. As advised by our PRC counsel, Kewei Law Firm, such practice is in compliance with the current PRC laws and regulations.</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13, 2021, the General Office of the China Banking and Insurance Regulatory Commission and the General Office of the People’s Bank of China jointly issued a Circular on Regulating the Personal Deposit Business Conducted by Commercial Banks through the Internet, pursuant to which, commercial banks are not allowed to engage in the business of providing fixed deposits or time-demand optional deposits through non-self-operated online platforms. On February 19, 2021, the General Office of the China Banking and Insurance Regulatory Commission issued a Circular on Further Regulating the Internet Loan Business of Commercial Banks, pursuant to which local banks engaged in online loan business shall serve local customers and are not allowed to operate online loan business outside of their registered local administrative areas, subject to certain exemptions. As such, we ceased our internet deposit cooperation with commercial banks and delisted all internet deposit services.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12, 2021, the People’s Bank of China issued the Announcement of the People’s Bank of China [2021] No.3, pursuant to which all loan products shall explicitly indicate their annualized loan interest rate, and we have included the requested information timely after the issuance of this announcement.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financial products or services available on Weibo wallet are found to be in violation of PRC rules and regulations, Weibo may face warnings, fines, confiscation of illegal gains, license revocations or the discontinuation of business, and our business, financial condition and operating results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insurance products offered in China are limited. We have limited business liability or disruption insurance coverage for our operations. Any business disruption, litigation or natural disaster may cause us to incur substantial costs and divert our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could materially and adversely affect our business and financial condition.</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COVID-19 had a severe and negative impact on the Chinese and the global economy from 2020 through 2022, and the global macroeconomic environment still faces numerous challenges. The growth rate of the Chinese economy has been slowing since 2010 and the Chinese population began to decline in 2022. The Russia-Ukraine conflict, the Hamas-Israel conflict, the conflict in the Persian Gulf and surrounding areas, and the restrictions at various times on shipping through the straits of Hormuz and the Red Sea have heightened geopolitical tensions across the world. The impact of the regional conflicts has contributed to increases in food and energy prices and has caused disruptions and uncertainties in the international finance market and the global economy. There have also been concerns about the relationship between China and other countries which may potentially have economic effects. In particular, there are significant uncertainties associated with the future relationship between the United States and China with respect to a wide range of issues including investment policies, trade policies, treaties, government regulations and tariffs. The Trump Administration, after coming into power in January 2025, has implemented various political and economic policies, many of which were targeted on China, further creating uncertainties to the U.S.-China relationship and the macroeconomy in general. See “—Risks Relating to Doing Business in China—The current tensions in international trade and rising international political tensions may adversely affect our business, financial condition, and results of operations.”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Economic conditions in China are sensitive to global economic conditions, as well as changes in domestic economic and political policies and the expected or perceived overall economic growth rate in China. In addition, advertising customers and their advertising and marketing budgets may be sensitive to changes in macroeconomic conditions. If macroeconomic conditions deteriorate, advertisers’ businesses may be directly hit, which may in turn lead to decreased advertising and marketing budgets. As a result, any severe or prolonged slowdown in the global or Chinese economy may materially and adversely affect our business, results of operations and financial condition.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natural disasters.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natural disasters, health epidemics or other public safety concerns affecting the PRC. Natural disasters may give rise to server interruptions, breakdowns, system failures, website or app failures or internet failures, which could cause the loss or corruption of data or malfunctions of software or hardware, as well as adversely affecting our ability to operate our website or apps and provide services and solutions. Our business could also be adversely affected if our employees are affected by health epidemics. In addition, our results of operations could be adversely affected to the extent that any health epidemic harms the Chinese economy in general. Our headquarters are located in China, where most of our directors and management and many of our employees currently reside. Most of our system hardware and back-up systems are hosted in facilities located in China. Consequently, if any natural disasters, health epidemics or other public safety concerns were to affect China, our operation may experience material disruptions, which may materially and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 of businesses and assets may have a material and adverse effect on our business and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our company meet its objectives. These decisions are largely based on our management’s assessment of the business models and likelihood of success of these businesses. However, our judgment could be inaccurate, and we may not achieve the desired strategic and financial benefits from these transactions. Our financial results could be adversely affected by the impact from the loss of earnings and corporate overhead contribution/allocation associated with divested businesses.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interests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Relationship with SINA</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a broad range of support from SINA and there can be no assurance that SINA will continue to provide the same level of support.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SINA is a leading internet media company in China, and our social media business has benefited significantly from SINA’s strong market position in China and its expertise in both internet and media-related businesses. For example, our advertising and marketing revenues have benefited from SINA’s ability to attract large brand advertisers that are interested in advertising on the internet. Prior to our initial public offering in April 2014, SINA provided us with financial, administrative, sales and marketing, human resources and legal services and the services of a number of its executives and employees. After we became a stand-alone public company, SINA has continued to provide us with certain support services.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have entered into a series of agreements with SINA relating to our ongoing business partnership and service arrangements with SINA, we cannot assure you we will continue to receive the same level of support from SINA going forward. To the extent that SINA does not continue to provide us with such support, we will need to create our own support systems. We may encounter operational, administrative and strategic difficulties if we are to adjust to providing these support services on our own, which may cause us to react slower than our competitors to industry changes, may divert our management’s attention from running our business or may otherwise harm our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22, 2021, New Wave Mergersub Limited (a wholly owned subsidiary of Sina Group Holding Company Limited, formerly known as New Wave Holdings Limited) merged with and into SINA, with SINA continuing as the surviving company. As a result of this merger, SINA became a wholly owned subsidiary of Sina Group Holding Company Limited, which is a wholly owned subsidiary of New Wave MMXV Limited, a business company incorporated in the British Virgin Islands and controlled by Mr. Charles Chao. Following the completion of the merger, SINA has ceased to be a reporting company under the Exchange Act and its shares have ceased trading on The Nasdaq Stock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SINA may be less favorable to us than similar agreements negotiated between unaffiliated parties. In particular, our non-competition agreement with SINA limits the scope of business that we are allowed to conduct.</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entered into a series of agreements with SINA and the terms of such agreements may be less favorable to us than would be the case if they were negotiated with unaffiliated third parties. In particular, under the non-competition agreement we have entered into with SINA, we agreed not to, during the non-competition period (which will end on the later of (1) five years after the first date when SINA ceases to own in aggregate at least 20% of the voting power of our then outstanding securities and (2) the fifteenth anniversary of the completion of our initial public offering in 2014), compete with SINA in the business currently conducted by SINA, as described in its periodic filings with the SEC, other than the microblogging and social networking business that we operated and any business that we developed operating under either the domain names or the brands that we owned as of the date of the agreement. Such contractual limitations significantly affect our ability to diversify our revenue sources and may materially and adversely impact our business and prospects should the growth of social media in China slow down. In addition, pursuant to our master transaction agreement with SINA, we have agreed to indemnify SINA for liabilities arising from litigation and other contingencies related to our business and assumed these liabilities as part of our carve-out from SINA. The allocation of assets and liabilities between SINA and our company may not reflect the allocation that would have been reached by two unaffiliated parties. Moreover, so long as SINA continues to control us, we may not be able to bring a legal claim against SINA in the event of contractual breach, notwithstanding our contractual rights under the agreements described above and other intercompany agreements entered into from time to time.</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sales, marketing and brand promotion have benefited significantly from our association with SINA. Any negative development in SINA’s market position or brand recognition may materially and adversely affect our marketing efforts and the strength of our brand.</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controlled subsidiary of SINA, we have benefited significantly from our association with SINA in marketing our brand and our platform. For example, we have benefited by providing services to SINA’s clients. We also benefit from SINA’s strong brand recognition in China, which has provided us credibility and a broad marketing reach. If SINA loses its market position, the effectiveness of our marketing efforts through our association with SINA may be materially and adversely affected. In addition, any negative publicity associated with SINA will likely have an adverse impact on the effectiveness of our marketing as well as our reputation and our brand.</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SINA has pledged half of the Class B ordinary shares held by it in our company to secure a syndicate loan and might from time to time pledge additional Class B ordinary shares held by it in our company. The potential default by SINA on the underlying loans or the potential for SINA to pledge additional Class B ordinary shares in our company poses a risk of change in control.</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2025, SINA entered into a facility agreement with, among others, Goldman Sachs Bank USA as mandated lead arranger and bookrunner, and Citicorp International Limited as facility agent and as security agent, under which SINA is entitled to borrow up to US$150 million. The maturity date of this facility agreement is March 13, 2028. This facility agreement refinances in full the US$300 million facility agreement entered into by SINA in March 2023 with, among others, Goldman Sachs Bank USA as mandated lead arranger and bookrunner, and Citicorp International Limited as facility agent and as security agent. Such March 2023 facility agreement has been repaid and discharged in full on March 13, 2025.</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13, 2025, SINA pledged half of the Class B ordinary shares held by it in our company as at such date in favor of the security agent of the January 2025 facility, which represented 17.9% of our total issued and outstanding shares and 31.3% of our voting power as of March 31, 2025, and might from time to time pledge additional Class B ordinary shares held by it in our company, pursuant to the terms of such share pledge.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SINA defaults under the facility agreement governing SINA’s loan, the security agent may exercise its rights and remedies in respect of the pledge, including the right to sell and/or foreclose on the shares subject to the pledge, which potentially could cause a change in control in our company. In December 2025, we became aware that SINA received an adverse judgment in an appraisal proceeding under Section 238 of the Cayman Islands Companies Act in connection with its privatization. SINA has appealed the judgement to the Cayman Islands Court of Appeal, which granted a stay of the enforcement of the judgement and resulting order until the resolution of the appeal. As of the date of this annual report, the outcome of the s.238 appeal remains uncertain. For a detailed discussion of the impact of the disposal of Class B ordinary shares in our company to any person or entity which is not the Founder or a Founder’s Affiliate (each as defined under our memorandum and articles of association) on our corporate matters, see “Item 3. Key Information— D. Risk Factors—Risks Relating to Our ADSs and Class A Ordinary Shares—Our dual-class voting structure will limit your ability to influence corporate matters and could discourage others from pursuing any change of control transactions that holders of our Class A ordinary shares and ADSs may view as beneficial.”</w:t>
      </w:r>
    </w:p>
    <w:p>
      <w:pPr>
        <w:spacing w:after="0" w:line="19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not required to offer to repurchase all outstanding 2030 Senior Notes upon the occurrence of a change in control event under the indentures governing our 2030 Senior Notes or immediately repay outstanding amount under our 2027 Loans upon the occurrence of a change in control event.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our 2030 Convertible Notes contain provisions concerning the holders’ right to require us to repurchase their notes upon the occurrence of a fundamental change (as defined in the terms of such notes). The indenture for our 2030 Convertible Notes defines a “fundamental change” to include, among other things, a person or a group other than Permitted Holders (as defined in the terms of such notes), SINA (or its successors), Weibo Corporation and its subsidiaries or such subsidiaries’ employee benefit plans files a Schedule TO or any schedule, form or report under the Exchange Act disclosing that such person or group has become the direct or indirect “beneficial owner” of the ordinary shares (including Class A ordinary shares held in the form of ADSs) of Weibo Corporation representing more than 50% of the voting power of all outstanding classes of Weibo Corporation’s capital stock that is entitled to vote generally in the election of the directors of Weibo Corporation.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SINA defaults under the facility agreement governing SINA’s loan and the security agent enforces its rights and remedies against the pledge of SINA’s Class B ordinary shares, SINA will no longer be a controlling shareholder of our company. As a result, the Class B ordinary shares previously held by SINA will be converted to Class A ordinary shares which do not have weighted voting rights. If any person or group (other than the Permitted Holders) subsequently becomes the direct or indirect “beneficial owner” of the ordinary shares of our company (including Class A ordinary shares held in the form of ADSs) representing more than 50% of the voting power of all outstanding classes of our company’s common equity, a fundamental change may occur, upon which holders will have the right to require us to repurchase their outstanding 2030 Convertible Notes. For further discussions of the repurchase right of the holders of our 2030 Convertible Notes, see “—If we cannot obtain sufficient cash when we need it, we may not be able to meet our payment obligations under our outstanding and future debt obligations.”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certain other contracts we are party to from time to time or future loans that we undertake may contain change of control provisions which, if triggered, could cause our contracts to be terminated or give rise to other obligations, such as accelerated payment requirements, each of which could have a material adverse effect on our business, results of operations and financial condition. If upon a change of control, we do not have sufficient funds available to make such payments if needed out of our available cash, third party financing would be needed, yet may be impermissible under our other debt agreements.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 are a “controlled company” within the meaning of The Nasdaq Stock Market Rules and, as a result, may rely </w:t>
      </w:r>
      <w:r>
        <w:rPr>
          <w:rFonts w:ascii="Times New Roman" w:cs="Times New Roman" w:eastAsia="Times New Roman" w:hAnsi="Times New Roman"/>
          <w:sz w:val="18"/>
          <w:szCs w:val="18"/>
          <w:color w:val="auto"/>
        </w:rPr>
        <w:t>on exemptions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certain corporate governance requirements that provide protection to shareholders of other companies.</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SINA holds more than 50% of our voting power. For so long as we remain a controlled company under that definition, we are permitted to elect to rely, and will rely, on certain exemptions from corporate governance rules, including:</w:t>
      </w:r>
    </w:p>
    <w:p>
      <w:pPr>
        <w:spacing w:after="0" w:line="176" w:lineRule="exact"/>
        <w:rPr>
          <w:sz w:val="20"/>
          <w:szCs w:val="20"/>
          <w:color w:val="auto"/>
        </w:rPr>
      </w:pPr>
    </w:p>
    <w:p>
      <w:pPr>
        <w:ind w:left="1000" w:right="2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our director nominees must be selected or recommended solely by independent directors;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having a corporate governance and nominating committee that is composed entirely of independent directors with a written charter addressing the committee’s purpose and responsibilities.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the ADS holders do not have the same protection afforded to shareholders of companies that are subject to these corporate governance requirements.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SINA and, because of SINA’s controlling ownership interest in our company, we may not be able to resolve such conflicts on favorable terms for us.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Conflicts of interest may arise between SINA and us in a number of areas relating to our past and ongoing relationships.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conflicts of interest that we have identified include the following:</w:t>
      </w:r>
    </w:p>
    <w:p>
      <w:pPr>
        <w:spacing w:after="0" w:line="207" w:lineRule="exact"/>
        <w:rPr>
          <w:sz w:val="20"/>
          <w:szCs w:val="20"/>
          <w:color w:val="auto"/>
        </w:rPr>
      </w:pPr>
    </w:p>
    <w:p>
      <w:pPr>
        <w:jc w:val="both"/>
        <w:ind w:left="1000" w:hanging="317"/>
        <w:spacing w:after="0" w:line="253"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arrangements with SINA. We have agreed to indemnify SINA with respect to lawsuits and other matters relating to our social media business, including operations of that business when it was a private company and a subsidiary of SINA. These indemnification arrangements could result in our having interests that are adverse to those of SINA, for example, with respect to settlement arrangements in litigation. In addition, under these arrangements, we have agreed to reimburse SINA for liabilities incurred (including legal defense costs) in connection with any litigation, while SINA will be the party prosecuting or defending the litigation.</w:t>
      </w:r>
    </w:p>
    <w:p>
      <w:pPr>
        <w:spacing w:after="0" w:line="18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arrangements with SINA. We and SINA have entered into a non-competition agreement under which we agree not to compete with each other’s core business. SINA agrees not to compete with us in a business that is of the same nature as the microblogging and social networking business that we operated as of the date of the agreement. We agree not to compete with SINA in the business currently conducted by SINA, as described in its periodic filings with the SEC, other than the microblogging and social networking business that we operated as of the date of the agreement.</w:t>
      </w:r>
    </w:p>
    <w:p>
      <w:pPr>
        <w:spacing w:after="0" w:line="16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recruiting and retention. Because both SINA and we are engaged internet-related businesses in China, we may compete with SINA in the hiring of new employees, in particular with respect to media and advertising-related matters. We have a non-solicitation arrangement with SINA that restricts us and SINA from hiring any of each other’s employees.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members or executive officers may have conflicts of interest. Two directors of our company are also executive officers of SINA. In addition, we may continue to grant incentive share compensation to SINA’s employees and consultants from time to time. These relationships could create, or appear to create, conflicts of interest when these persons are faced with decisions with potentially different implications for SINA and us.</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shares in our company. SINA may decide to sell all or a portion of our shares that it holds to a third party, including to one of our competitors, thereby giving that third party substantial influence over our business and our affairs. Such a sale could be contrary to the interests of our employees or our other shareholders.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business opportunities. Business opportunities may arise that both we and SINA find attractive, and which would complement our respective businesses. SINA may decide to take the opportunities itself, which would prevent us from taking advantage of those opportunities.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business relationships with SINA’s competitors. So long as SINA remains as our controlling shareholder, we may be limited in our ability to do business with its competitors, such as other online media companies in China. This may limit our ability to market our services for the best interests of our company and our other shareholders.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our company has become a stand-alone public company, we expect to operate, for as long as SINA is our controlling shareholder, as an affiliate of SINA. SINA may from time to time make strategic decisions that it believes are in the best interests of its business as a whole, including our company. These decisions may be different from the decisions that we would have made on our own. SINA’s decisions with respect to us or our business may be resolved in ways that favor SINA and therefore SINA’s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PRC Foreign Investment Law and how it may impact the viability of our current corporate structure, corporate governance and business operations.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National People’s Congress approved the Foreign Investment Law on March 15, 2019 and the State Council approved the Regulation on Implementing the Foreign Investment Law on December 26, 2019, effective from January 1, 2020. The Supreme People’s Court of China issued the Interpretation on the Application of the Foreign Investment Law of the PRC on December 26, 2019, effective from January 1, 2020, to ensure fair and efficient implementation of the Foreign Investment Law. According to the judicial interpretation, courts in China shall not support contracted parties to claim foreign investment contracts in sectors not on the Special Administrative Measures for Access of Foreign Investment (Negative List) as void because the contracts have not been approved or registered by administrative authorities. The Foreign Investment Law and its implementation regulations embody an expected PRC regulatory trend to rationalize its foreign investment regulatory regime in line with prevailing international practice and the legislative efforts to unify the corporate legal requirements for both foreign and domestic investments.</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However, uncertainties still exist in relation to their interpretation.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or whether they may be invalid in whole or in part.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determines that the contractual arrangements constituting part of the VIE structure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Current PRC laws and regulations impose certain restrictions or prohibitions on foreign ownership of companies that engage in internet and other related businesses, including the provision of internet content and online game operations. Specifically, foreign ownership of an internet content provider may not exceed 50%. We are a company incorporated in the Cayman Islands and Weibo Technology, our PRC subsidiary, is considered a foreign-invested enterprise. To comply with PRC laws and regulations, we conduct our business in China principally through Weimeng, and its subsidiaries based on a series of contractual arrangements by and among Weibo Technology, Weimeng and its shareholders. We also operate certain investments in China through Weimeng Chuangke and its subsidiaries, based on a series of contractual arrangements by and among Weibo Technology, Weimeng Chuangke and its shareholders. As a result of these contractual arrangements, we exert control over Weimeng and Weimeng Chuangke and treat them as consolidated VIEs. Consequently, we consolidate their operating results in our financial statements under U.S. GAAP. Weimeng and Weimeng Chuangke hold certain assets that are important to our business operations, including the Internet Content License, the Online Culture Operating Permit and domain names held by Weimeng and our investments held by Weimeng Chuangke. Investors of our Class A ordinary shares and/or the ADSs are not purchasing equity interest in the VIEs in China but instead are purchasing equity interest in a Cayman Islands holding company with no direct equity ownership of the VIEs.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opinion of our PRC counsel, Kewei Law Firm, our current ownership structure, the ownership structure of our PRC subsidiaries and the VIEs, and the contractual arrangements among our PRC subsidiaries, the VIEs and their respective shareholders are in compliance with existing PRC laws, rules and regulations. There are, however, substantial uncertainties regarding the interpretation and application of current or future PRC laws and regulations. Thus, we cannot assure you that the PRC government will not ultimately take a view contrary to the opinion of our PRC counsel.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Weibo Corporation, the VIEs and investors of our company face uncertainties about potential actions by the PRC government that could affect the enforceability of the contractual arrangements with the VIEs and, consequently, the business, financial condition, and results of operations of the VIEs and our company as a group. It is uncertain whether any new PRC laws or regulations relating to VIE structures will be adopted, or, if adopted, what requirements would be made. In particular, the National People’s Congress approved the Foreign Investment Law and the PRC State Council approved the Implementation Rules of Foreign Investment Law in 2019. There are uncertainties as to how the Foreign Investment Law and its implementation rules would be further interpreted and implemented, and if it would represent a major change to the laws and regulations relating to the VIE structures. See “—Risks Relating to Our Corporate Structure—Uncertainties exist with respect to the interpretation and implementation of the PRC Foreign Investment Law and how it may impact the viability of our current corporate structure, corporate governance and business operations.” If we are found in violation of any PRC laws or regulations, the governmental authorities would have broad discretion in dealing with such violation, including, without limitation, levying fines, restricting our right to collect revenues, confiscating our income or the income of the VIEs, revoking our business licenses or the business licenses of the VIEs, requiring us to restructure our ownership structure or operations, and requiring us or the VIEs to discontinue any portion or all of our business. Any of these actions could cause significant disruption to our business operations and may materially and adversely affect our business, financial condition and results of operations. If the PRC government determines that the contractual arrangements constituting part of the VIE structure do not comply with PRC laws and regulations, or if these regulations change or are interpreted differently in the future, our ADSs and/or Class A ordinary shares may decline in value or become worthless if we are unable to assert our contractual control rights over the assets of the VIEs.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for our operations in China, which may not be as effective in providing operational control as direct ownership.</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the PRC restrictions or prohibitions on foreign ownership of internet and other related businesses in China, we operate our business in China through the VIEs, in which we have no ownership interest. We rely on a series of contractual arrangements with the VIEs and their respective shareholders to control and operate their business. These contractual arrangements are intended to provide us with effective control over these VIEs and allow us to obtain economic benefits from them. See “Item 4. Information on the Company —C. Organizational Structure—Contractual Arrangements with the VIEs and Their Respective Individual Shareholders” for more details about these contractual arrangements.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Although we have been advised by our PRC counsel, Kewei Law Firm, that these contractual arrangements are valid, binding and enforceable under existing PRC laws and regulations, these contractual arrangements may not be as effective in providing control over these VIEs as direct ownership. If any of these VIEs or their shareholders fail to perform their respective obligations under the contractual arrangements, we may incur substantial costs and expend substantial resources to enforce our rights. All of these contractual arrangements are governed by and interpreted in accordance with PRC law, and disputes arising from these contractual arrangements will be resolved through arbitration in China. However, the legal system in China, particularly as it relates to arbitration proceedings, is not as developed as in other jurisdictions, such as the United States. See “Item 3. Key Information—D. Risk Factors—Risks Relating to Doing Business in China—Uncertainties in the interpretation and enforcement of PRC laws and regulations could limit the legal protections available to you and us.” There are very few precedents and little official guidance as to how contractual arrangements in the context of a variable interest entity should be interpreted or enforced under PRC law. There remain significant uncertainties regarding the ultimate outcome of arbitration should legal action become necessary. These uncertainties could limit our ability to enforce these contractual arrangements. In addition, arbitration awards are final and can only be enforced in PRC courts through arbitration award recognition proceedings, which could cause additional expenses and delays. In the event we are unable to enforce these contractual arrangements or we experience significant delays or other obstacles in enforcing these contractual arrangements, we may not be able to exert effective control over our affiliated entities and may lose control over the assets owned by the VIEs and their subsidiaries. As a result, we may be unable to consolidate Weimeng or Weimeng Chuangke and their respective subsidiaries in our consolidated financial statements, our ability to conduct our business may be negatively affected, and our business operations could be severely disrupted, which could materially and adversely affect our results of operations and financial condition.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April 2020, WangTouTongDa (Beijing) Technology Co., Ltd. made an investment of RMB10.7 million in Weimeng for 1% of Weimeng’s enlarged registered capital. Such third-party minority stake holder is not a party to the contractual arrangements that are currently in effect among Weimeng, Weibo Technology and Weimeng’s other shareholders. As such, despite the fact that we are still able to enjoy economic benefits and exercise effective control over Weimeng and its subsidiaries, we are not able to purchase or have the third party minority stake holder pledge its 1% equity interests in Weimeng in the same manner as agreed under existing contractual arrangements, nor are we granted the authorization of voting rights over these 1% equity interests. However, we believe Weibo Technology, our wholly owned PRC subsidiary, still controls and is the primary beneficiary of Weimeng (for accounting purpose only) as it continues to have a controlling financial interest in Weimeng pursuant to ASC 810-10-25-38A after the issuance of such 1% equity interests.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Shareholders of the VIEs may have potential conflicts of interest with us, which may affect the performance of the contractual arrangements with the VIEs and their respective shareholders, which may in turn materially and adversely affect our business and financial condition.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Other than the third-party minority stake holder that holds 1% of Weimeng’s equity interests, the VIEs’ shareholders, or the Individual Shareholders, are PRC employees of our company or SINA. Although each of these Individual Shareholders has authorized Weibo Technology to exercise all of his/her voting powers in Weimeng or Weimeng Chuangke, and we may replace any of these Individual Shareholders at any time pursuant to the share transfer agreements, we cannot assure you that these Individual Shareholders will act in the best interest of our company should any conflict arise. If they were to act in bad faith towards us, we may have to take legal actions to enforce their contractual obligations, which may be expensive, time-consuming and disruptive to our operations. As there remain significant uncertainties regarding the ultimate outcome of a legal action due to the limited number of precedents and lack of official guidance as to how contractual arrangements in the context of a variable interest entity should be interpreted or enforced under PRC law, we cannot assure you that conflicts will be resolved in our favor. If we are unable to resolve any such conflicts, or if we suffer significant delays or other obstacles as a result of such conflicts, our business and operations could be severely disrupted, which could materially and adversely affect our results of operations and financial condition.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any of the VIEs that are important to the operation of our business if such VIE declares bankruptcy or becomes subject to a dissolution or liquidation proceeding.</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VIEs hold certain assets that are important to our business operations, including the Internet Content Provision License, the Online Culture Operating Permit and domain names held by Weimeng and our investments held by Weimeng Chuangke. Under our contractual arrangements with the VIEs, the Individual Shareholders may not voluntarily liquidate the VIE or approve the VIE to sell, transfer, mortgage or dispose of its assets or legal or beneficial interests in the business in any manner without our prior consent. However, in the event that the Individual Shareholders breach this obligation and voluntarily liquidate any VIE, or any VIE declares bankruptcy, or all or part of its assets become subject to liens or rights of third-party creditors, we may be unable to continue some or all of our business operations, which could materially and adversely affect our business, financial condition and results of operations. Furthermore, if any of the VIEs or their subsidiaries undergoes a voluntary or involuntary liquidation proceeding, their shareholders or unrelated third-party creditors may claim rights to some or all of their assets, thereby hindering our ability to operate our business, which could materially and adversely affect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VIEs may be subject to scrutiny by the PRC tax authorities. A finding that we owe additional taxes could substantially reduce our consolidated net income and the value of your investment.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applicable PRC laws and regulations, arrangements and transactions among related parties may be subject to audit or challenge by the PRC tax authorities. We may be subject to adverse tax consequences if the PRC tax authorities determine that the contractual arrangements among our PRC subsidiaries, the VIEs and their Individual Shareholders are not on an arm’s length basis and therefore constitute favorable transfer pricing. As a result, the PRC tax authorities could require any of the VIEs to adjust its taxable income upward for PRC tax purposes. Such a pricing adjustment could adversely affect us by increasing such VIE’s tax expenses without reducing the tax expenses of our PRC subsidiaries, subjecting such VIE to late payment fees and other penalties for under-payment of taxes, and resulting in our PRC subsidiaries’ loss of its preferential tax treatment. Our results of operations may be adversely affected if any of the VIEs’ tax liabilities increase or if it is subject to late payment fees or other penalties.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PRC subsidiaries, the VIEs and their respective subsidiaries are not kept safely, are stolen or are used by unauthorized persons or for unauthorized purposes, the corporate governance of these entities could be severely and adversely compromised.</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subsidiary, the VIEs and their respective subsidiaries are generally held securely by personnel that we designated or approved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holders of such chops at any of the VIEs failed to employ them in accordance with the terms of the various VIE-related agreements or removed them from the premises, the operation of such VIE could be significantly and adversely impacted.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subject us to liability for information displayed on Weibo.</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information over the internet. Under these regulations, internet content providers and internet publishers are prohibited from posting or displaying the internet content that impairs the national dignity of China, is reactionary, obscene, superstitious, fraudulent or defamatory, or otherwise violates PRC laws and regulations. Failure to comply with these requirements may result in the revocation of licenses to provide internet content and other licenses and the closure of the concerned websites and levy of fines. The website operator may also be held liable for such censored information displayed on or linked to the website.</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Ministry of Industry and Information Technology has published regulations that subject website operators to potential liability for content displayed on their websites and for the actions of users and others using their systems, including liability for violations of PRC laws prohibiting the dissemination of content deemed to be socially destabilizing. The Ministry of Public Security has the authority to order any local internet service provider to block any internet website at its sole discretion. From time to time, the Ministry of Public Security stops the dissemination over the internet of information which it believes to be socially destabilizing. The State Administration for the Protection of State Secrets is also authorized to block any website it deems to be leaking state secrets or failing to meet the regulations relating to the protection of state secrets in the dissemination of online information. The Cyberspace Administration of China, set up in May 2011 to supervise internet content management nationwide, has also promulgated regulations and taken a number of other measures to regulate and monitor online content.</w:t>
      </w:r>
    </w:p>
    <w:p>
      <w:pPr>
        <w:spacing w:after="0" w:line="19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attempt to monitor the content that users posted on Weibo, we are not able to effectively control or restrict content generated or placed on Weibo by our users. In particular, with various features such as posts, comments and chat groups and the growing popularity of multi-media content, such as photos, videos and live streaming, and long-form articles, content monitoring has become much more complicated and challenging than text-based feeds.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To the extent that PRC regulatory authorities find any content displayed on Weibo objectionable, they may require us to limit, prevent, or eliminate the dissemination of such information on our platform or even investigate us if any misconduct on our part is involved. The Cyberspace Administration of China launched the “Clear and Bright” campaign to rectify various areas of online misconduct in May 2021, in response to which, certain polices were issued and actions were launched. On June 15, 2021, the Cyberspace Administration of China launched the “Fan Group Chaos Rectification” special action, followed by the issuance of the Notice on Further Strengthening the Management of Chaos in Fan Groups on August 25, 2021. Both the special action and notice are intended to curb inappropriate behaviors in the online fan groups for celebrities, specifically, various fans interactive features and functions, so as to curb attacks, stigmatization, fans community fiction and hostilities and the spread of other harmful information. The Notice on Further Strengthening the Management of Chaos in Fan Groups requested the cancellation of all rankings of celebrities. The rankings of music, film and television works are still allowed, but the network platforms should optimize and adjust ranking rules to focus on the art works themselves and to base rankings on professional evaluation. Furthermore, minors are not allowed to make virtual gifts or spend money on supporting idols, or act as the organizer or manager of a fan group. We have taken measures specified in this notice to the extent applicable to our business, including removing the function of the “star power list” on our platform. On October 26, 2021, the Cyberspace Administration of China issued the Notice on Further Strengthening the Regulation on Online Information of Entertainment Celebrities, which requests internet platforms to set up a monitoring system to monitor online information related to entertainment celebrities and to promptly report certain hot topics related to the entertainment celebrities to the competent authorities, such as celebrity relationship disputes, allegations of celebrities’ involvement in illegal activities, and fan group conflicts. In August 2021, in response to the PRC regulatory authorities’ then regulatory focus on financial blogs, we have identified and rectified certain for-profit bloggers, including key opinion leaders, with inappropriate nicknames, self-descriptions, marketing events, and publication of financial and economics related information. We have publicly disclosed the rectification results on our platform and established a hotline for users to report any inappropriate events.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Since 2022, the Cyberspace Administration of China initiated a series of special actions under the “Clear and Bright” campaign to address various forms of online misconduct, with the focus varying each year. For example, in February 2025, the Cyberspace Administration of China announced the key rectification tasks for the 2025 “Clear and Bright” campaign. One of the primary areas of focus is rectifying the malicious incitement of negative emotions and rigorously investigating and addressing violations by marketing accounts, internet water armies, and multi-channel networks (MCN) institutions. Although we have taken measures to comply with the requirements of these special actions as they apply to our business, including filtering and removing offensive content such as short videos, and closing illegal accounts on our platform, certain forms of online misconduct can be challenging to detect and we may from time to time be involved in investigations in such online misconduct on our platform. In addition to the “Clear and Bright” campaign, certain online misconduct may be subject to criminal investigations. The Judicial Interpretation on the Application of Law in Trial of Online Defamation and Other Online Crimes, jointly promulgated by the Supreme People’s Court and Supreme People’s Procuratorate and effective from September 10, 2013, interprets the application of the Criminal Law on various online crimes. Among these, fabricating or knowingly spreading false information on information networks, or organizing others to do so, which causes serious public disorder, can result in imprisonment of up to five years. Additionally, providing paid services for deleting or posting false information for profit that disrupts market order, under serious circumstances, can result in imprisonment for up to five years or detention, along with fines or confiscation of property for illegal business operations pursuant to the Criminal Law. The Supreme People’s Court, the Supreme People’s Procuratorate, and the Ministry of Public Security jointly issued the Guiding Opinions on Punishing Illegal and Criminal Activities of Cyber Violence in Accordance with the Law on September 20, 2023, which clarified the rules applications to cyber violence and crimes, such as online defamation, insults, infringement of citizens’ personal information, illegal use of information networks and the use of cyberviolence for malicious marketing. The implementation of these special actions, judicial interpretations and guiding opinions may have a significant and adverse effect on the traffic of our platform and discourage the creation of user-generated content, which in turn may impact the results of our operations and ultimately the trading price of our Class A ordinary shares and/or ADSs. Furthermore, involvement in any investigations for any such misconduct could lead us to incur substantial costs, divert our management’s attention and resources, or subject us to potential liabilities.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Failure to comply with the requirements from PRC regulatory authorities on content regulation may subject us to liabilities and penalties, including fines of up to RMB10 million under the Cyber Security Law or fines of up to RMB50 million or 5% of the previous year’s turnover under the PRC Personal Information Protection Law, and may even result in the temporary blockage or complete shutdown of our online operations.</w:t>
      </w:r>
    </w:p>
    <w:p>
      <w:pPr>
        <w:spacing w:after="0" w:line="180"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We have received penalties for inappropriate or illegal content transmitted on our platform in the past, and we have cooperated with the government authorities to take corrective measures in all cases. For example, in June 2020, the Cyberspace Administration of China imposed a fine of RMB500,000 on us for failing to timely discover and remove user posts violating PRC laws and regulations from our platform and required us to rectify and suspend the operation of Weibo hot search feature for one week. We were imposed with fines in the past for disseminating illegal content on our platform from the regulatory authorities, which penalties may be publicized on the websites of the regulatory authorities from time to time. For example, in September 2025, we were penalized for displaying a large number of celebrity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hype topics on Weibo hot search list. We were imposed a fine of RMB100,000 and have completed the required rectification measures. We believe these past incidents, individually or in the aggregate, did not have a material adverse effect on our business, financial condition or results of operations.</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restrictions on internet content under rules and regulations promulgated by PRC regulatory authorities may negatively impact the operation of our business. Government standards and interpretations may change in a manner that could render our current monitoring and managing efforts insufficient. The PRC government has wide discretion in regulating online activities and, irrespective of our efforts to control the content on our platform, government campaigns and other actions to reduce inappropriate or illegal content and activities could subject us to negative press or regulatory challenges and sanctions, including imposition of fines, suspension or revocation of our licenses to operate in China or a ban of our platform, including closure of one or more parts of or our entire business. If government actions or sanctions are brought against us, or if there are widespread rumors about any actual or potential government actions or sanctions against us, our reputation could be harmed, we may lose users and other customers, and our revenues and results of operation may be materially and adversely affected.</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Regulation and censorship of information disseminated over the internet in China may adversely affect our user experience and reduce users’ engagement and activities on our platform as well as adversely affect our ability to attract new users to our platform. Any and all of these adverse impacts may ultimately materially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cybersecurity related regulations and cybersecurity review as well as any impact these may have on our business operations.</w:t>
      </w:r>
    </w:p>
    <w:p>
      <w:pPr>
        <w:spacing w:after="0" w:line="1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cybersecurity legal regime in China is relatively new and evolving rapidly, and their interpretation and enforcement involve significant uncertainties. As a result, it may be difficult to determine what actions or omissions may be deemed to be in violations of applicable laws and regulations in certain circumstances.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Network operators in China are subject to numerous laws and regulations, and have the obligations to, among others, (i) establish internal security management systems that meet the requirements of the classified protection system for cybersecurity, (ii) implement technical measures to monitor and record network operation status and cybersecurity incidents, (iii) implement data security measures such as data classification, backups and encryption, and (iv) submit for cybersecurity review under certain circumstances.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was amended on October 28, 2025, with effect from January 1, 2026. The Cyber Security Law imposes more stringent requirements on operators of “critical information infrastructure,” especially in data storage and cross-border data transfer.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together with several other PRC governmental authorities, jointly published the Measures for Cybersecurity Review, with effect from February 15, 2022. Pursuant to these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As advised by our PRC counsel, Kewei Law Firm, the exact scope of operators of “critical information infrastructure” under the Measures for Cybersecurity Review and current PRC regulatory regime is subject to the decisions of the PRC government authorities that have been delegated the authority to identify operators of “critical information infrastructure” in their respective jurisdictions (including regions and industries). PRC government authorities have wide discretion in the interpretation and enforcement of these laws, including the identification of operators of “critical information infrastructure” and the interpretation and enforcement of requirements potentially applicable to such operators of “critical information infrastructure.” As a major internet platform, we are at risk of being deemed to be an operator of “critical information infrastructure” or a network platform operator meeting the above criteria under PRC cybersecurity laws. If we are identified as an operator of “critical information infrastructure,” we would be required to fulfill various obligations as required under PRC cybersecurity laws and other applicable laws for such operators of “critical information infrastructure,” which are currently not applicable to us, including setting up a special security management organization, organizing regular cybersecurity education and training, formulating emergency plans for cyber security incidents and conducting regular emergency drills, and although the internet products and services we purchase are primarily bandwidth, copyright content and marketing services, we may need to follow cybersecurity review procedure and apply with Cybersecurity Review Office before making certain purchases of network products and services. During cybersecurity review, we may be required to suspend the provision of any existing or new services to our users, and we may experience other disruptions of our operations, which could cause us to lose users and customers therefore leading to adverse impacts on our business. The cybersecurity review could also lead to negative publicity and a diversion of time and attention of our management and our other resources. It could be costly and time-consuming for us to prepare application materials and make the applications. Furthermore, there can be no assurance that we will obtain the clearance or approval for these applications from the Cybersecurity Review Office and the regulatory authorities in a timely manner, or at all. If we are found to be in violation of cybersecurity requirements in China, the governmental authorities may, at their discretion, conduct investigations, levy fines, request app stores to take down our apps and cease to provide viewing and downloading services related to our apps, prohibit the registration of new users on our platform, or require us to change our business practices in a manner materially adverse to our business. Any of these actions may disrupt our operations and adversely affect our business, results of operations and financial condition.</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24, 2024, the State Council published the Administrative Measures for Network Data Security with effect from January 1, 2025, which provides that data processors conducting the activities that affect or may affect national security shall apply for national cybersecurity review in accordance with the relevant laws and regulations. However, there have been no clarifications from the authorities as to the standards for determining such activities that “affects or may affect national security.” If we are required to conduct a cybersecurity review, we cannot assure you that we will be able to obtain the necessary approval or clearance from the regulatory authorities in a timely manner, or at all. Any failure to obtain such approval or clearance from the regulatory authorities could materially constrain our liquidity and have a material adverse impact on our business operations and financial results, especially if we need additional capital or financing.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14, 2025, the Cyberspace Administration of China promulgated the Personal Information Protection Compliance Audit Management Measures with effect from May 1, 2025, which requires personal information processors processing data of over 10 million individuals to conduct personal information protection compliance audits at least once every two years. In addition, personal information processors processing the personal information of over 1 million individuals shall designate a personal information protection officer in charge of the compliance audit. The personal information processors providing important internet platform services, having large number of users and complicated business model, shall establish an independent body mainly composed of external members to oversee the status of personal information protection compliance audit.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the personal information protection compliance audit in 2024 and will take the relevant measures as requested under the Personal Information Protection Compliance Audit Management Measures, including conducting such compliance audits at least once every two years in the future.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to the best of our knowledge, our business operations do not violate any of the above PRC laws and regulations currently in effect in material aspects. We have been taking, and will continue to take, reasonable measures to comply with such laws, regulations, announcement, provisions and inspection requirements. However, the interpretation and application of these cybersecurity laws, regulations and standards are evolving. We cannot assure you that governmental authorities will not interpret or implement these and other laws or regulations in ways that may negatively affect us.</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but have not been able to, verify the identities of all of our users who post on Weibo, and our non-compliance exposes us to potentially severe penalty by the Chinese government.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including existing users who post publicly on their websites. Furthermore, pursuant to the Cyber Security Law passed by the Standing Committee of the National People’s Congress on November 7, 2016 and was amended on October 28, 2025 with effect from January 1, 2026, we are required to verify users’ real identities when they sign up. Further, both the Administrative Measures on Group Chat Service issued on September 7, 2017 and effective on October 8, 2017, and the Administrative Measures on Internet User Public Account Information Service, which was issued on September 7, 2017 and effective on October 8, 2017 and amended on January 22, 2021, require verification of any user’s identity. On August 1, 2018, the Cyberspace Administration of China and the other five PRC governmental authorities jointly issued the Circular on Tightening the Administration of Online Live Streaming Services, which specifies that online live streaming service providers are required to implement real name verification system for users. On May 19, 2025, the Cyberspace Administration of China and other relevant governmental authorities jointly issued the National Network Identity Authentication Public Service Management Measures with effect from on July 15, 2025 and encourages the Internet platforms to connect with the National Network Identity Verification Public Service Platform to facilitate the use of online numbers and certificates for user registration and identity verification.</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Weibo has connected with the national network identity authentication system and promoted the use of online certificates for identity verification in multiple scenarios such as account registration and login, rights protection complaints, and account unblocking. As of December 31, 2025, more than 100,000 accounts on Weibo have been verified through online certificates. However, for reasons including existing user behaviors, the nature of the social media product and online live streaming and the lack of clarity on specific implementation procedures, we have not been able to verify the identities of all of the users on Weibo. We are potentially liable for our non-compliance and may be subject to penalties including the deactivation of certain features on Weibo, a written warning, suspension or termination of Weibo operations, fines, revocation of licenses or business license, or other penalties imposed by the Chinese government. Any of the above actions may have a material and adverse impact on the trading price of our Class A ordinary shares and/or ADSs.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investigations could cause us to incur additional expenses or change our business practices in a manner materially adverse to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Internet content regulation in China is continually evolving, which can at times result in sustained periods of enhanced enforcement of content censorship, cyber security reviews, user privacy compliance, and internet financial services oversight. PRC regulators had in the past ordered the suspension or significant curtailment of several content apps and platforms, all in connection with content that our users shared or accessed.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 period of enhanced scrutiny of internet content, we may be become subject to regulatory investigations or audits in connection with products or services we provide or for information or content displayed on, retrieved from or linked to our platform, or distributed to our users. During such investigation, some or all of our products, services, features or functionalities could be terminated, and our apps could be removed from the App stores. It is also possible that a regulatory investigation could result in changes to our policies or practices, could result in reputational harm, prevent us from offering certain products, services, features or functionalities, cause us to incur substantial costs, or require us to change our business practices in a manner materially adverse to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to register our encryption software with Chinese regulatory authorities. If they request that we change our encryption software, our business operations could be disrupted as we develop or license replacement software.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Regulations for the Administration of Commercial Encryption promulgated in 1999 and amended on July 1, 2023, foreign companies or individuals in China are required to seek approval from the Office of the State for Cipher Code Administration, the Chinese encryption regulatory authority, for the use of commercial encryption products or equipment involving encryption technology. Companies operating in China are allowed to use only commercial cipher code products approved by this authority and are prohibited to use self-developed or imported cipher code products without approval. In addition, all cipher code products shall be produced by those producers appointed and approved by this authority. Additional rules became effective in 2006 and amended in 2017 regulating many aspects of commercial cipher code products in detail, including development, production and sales.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these regulations do not specify what constitutes a cipher code product, we are unsure as to whether or how they apply to us and the encryption software we utilize. We may be required to register or apply for permits for our current or future encryption software. If the PRC authorities request that we register our encryption software or change our current encryption software to an approved cipher code product produced by an appointed producer, it could disrupt our business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virtual currency may adversely affect our game operations revenues.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provided Weibo Credit as an online virtual currency for users to purchase in-game virtual items or other types of fee-based services on our platform. In the fourth quarter of 2020, we acquired the majority equity shares of Shanghai Jiamian Information Technology Co., Ltd., a company operating several online interactive entertainment applications through its subsidiaries in China including “Pocket Werewolves” and “Werewolf.” This subsidiary provides online virtual currency for users to purchase items to be used in those apps such as “gold coin” provided in “Pocket Werewolves.” 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users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service enterprise” and stipulates that a single enterprise may not operate both types of business.</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our operations are in compliance with the Notice on the Strengthening of Administration on Online Game Virtual Currency, as we do not offer online game virtual currency trading services, we cannot assure you that the PRC regulatory authorities will not take a view contrary to ours, in which case we may be subject to fines or even required by the PRC regulators to change our practices related to Weibo Credit or “gold coin” in “Pocket Werewolves”, which consequently will have an adverse effect on our game-related revenues.</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listed securities.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conduct our operations in China through our PRC subsidiaries and the VIEs with which we have maintained contractual arrangements and their subsidiaries in China. Our operations in China are governed by PRC laws and regulations. The PRC government has significant oversight and discretion over the conduct of our business, and it may influence our operations, which could result in a material adverse change in our operation and/or the value of our Class A ordinary shares and/or ADSs. Also, the PRC government has indicated an intent to exert more oversight and control over offerings that are conducted overseas and foreign investment in China-based issuers in recent years. Any such actions could significantly limit or completely hinder our ability to continue to offer securities to investors and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could limit the legal protections available to you and us.</w:t>
      </w:r>
    </w:p>
    <w:p>
      <w:pPr>
        <w:spacing w:after="0" w:line="1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VIEs and their subsidiaries in China. Our operations in China are governed by PRC laws and regulations.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the PRC legal system continues to evolve rapidly and the PRC governmental authorities may continue to promulgate new laws and regulations regulating our business, we cannot assure you that our business operations would not be deemed to violate any existing or future PRC laws or regulations, which in turn may limit or restrict us, and could materially and adversely affect our business and operations.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The PRC legal system is a civil law system based on written statute, prior court decisions under the civil law system may be cited for reference but have limited precedential value. The PRC judicial and administrative authorities have significant discretion in interpreting and implementing statutory and contractual terms, it may be difficult to predict the outcome of a judicial or administrative proceeding. These uncertainties may adversely affect our contractual, property and procedural rights, which could adversely affect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the enactment, interpretation and implementation of PRC regulations on foreign debt, which may adversely affect the enforceability and the effective performance of our outstanding notes.</w:t>
      </w:r>
    </w:p>
    <w:p>
      <w:pPr>
        <w:spacing w:after="0" w:line="14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National Development and Reform Commission promulgated the Foreign Debt Measures that came into effect on February 10, 2023. According to the Foreign Debt Measures, PRC domestic enterprises and their overseas controlled entities or branches shall procure the registration of any foreign debt with maturities of over one year prior to raising such debt with the National Development and Reform Commission. Furthermore, a domestic enterprise is required to submit the following information to the National Development and Reform Commission: (i) the offering information (including, without limitation, the information related to the major business indicators of such enterprise and issue details of the foreign debt) within ten business days after the completion of the issuance or drawdown of such foreign debt, (ii) the necessary information on the foreign debt raised under the pre-issuance registration within ten business days after the expiry date of such registration, (iii) certain information, including, without limitation, the use of proceeds, plan and arrangement of payment of interest and principal, and major business indicators, within five business days before the end of January and the end of July of each year, and (iv) certain required information promptly upon the occurrence of any material event that may affect the performance of issuers’ obligations under their foreign debt, and the domestic enterprise is also required to take measures to avoid the spillover of default risks of its onshore debt securities and cross-default risks.</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fail to complete any continued filing obligations for our 2030 Convertible Notes or fail to complete the registration with the National Development and Reform Commission for any of our future offering of foreign debt required under the Foreign Debt Measures, we may be subject to correction orders and we and our person(s)-in-charge may face regulatory warnings. The Foreign Debt Measures are silent on whether any non-compliance with these measures would affect the legality and validity of the notes. There is no assurance that the failure to comply with the Foreign Debt Measures would not result in adverse consequences on our ability to perform our obligations under or to comply with the notes. Substantial uncertainties exist with respect to the interpretation and implementation of the Foreign Debt Measures.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the enactment, interpretation and implementation of PRC regulations on live streaming.</w:t>
      </w:r>
    </w:p>
    <w:p>
      <w:pPr>
        <w:spacing w:after="0" w:line="20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November 12, 2020, the National Radio and Television Administration issued the Notice on Strengthening the Management of Online Show Live Streaming and E-commerce Live Streaming. According to this notice, platforms providing online show live streaming or e-commerce live streaming services shall register their information and business operations by November 30, 2020, ensure real-name registration for all live streaming hosts and virtual gifting users, prohibit users that are minors or without real-name registration from virtual gifting, and set a limit on the maximum amount of virtual gifting per time, per day, and per month.</w:t>
      </w:r>
    </w:p>
    <w:p>
      <w:pPr>
        <w:spacing w:after="0" w:line="14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There are currently no explicit provisions as to what limits on virtual gifting will be imposed by the National Radio and Television Administration and it is unclear how and to what degree any such limits would be imposed on different platforms. Given there is no explicit provisions on how to set the limit on virtual gifting, we are currently not able to assess the potential impact from this requirement on the virtual gifting spending activities on our platform. Any such limits ultimately imposed may negatively impact our revenues derived from virtual gifting and our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notice requests the live streaming platforms for online shows and e-commerce to register in the National Internet Audio-Visual Platforms Information Management System. Weibo has completed such registration and completed the renewal of such registration on August 14, 2025. This notice also sets forth requirements for certain live streaming businesses with respect to real-name registration, limits on user spending on virtual gifting, restrictions on minors on virtual gifting, live streaming review personnel requirements, and content tagging requirements. We have implemented real-name registration system for all of our live streaming hosts and users. For more information on the Notice 78, see “Item 4. Information on the Company—B. Business Overview—Regulation— Regulations on Online Live-streaming Services.”</w:t>
      </w:r>
    </w:p>
    <w:p>
      <w:pPr>
        <w:spacing w:after="0" w:line="16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Since some of the requirements in this notice remain unclear and have no explicit provisions or implementation standards, we are still in the process of getting further guidance from regulatory authorities and evaluating the applicability and effect of the various requirements under this notice on our business. Any further rulemaking under this notice or other intensified regulation with respect to live streaming may increase our compliance burden in the live streaming business and may have an adverse impact on our business and results of operations.</w:t>
      </w:r>
    </w:p>
    <w:p>
      <w:pPr>
        <w:spacing w:after="0" w:line="1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or the filing with the CSRC or other PRC government authorities may be required in connection with our future offshore listings and capital raising activities under PRC law, and, if required, we cannot predict whether or for how long we will be able to obtain such approval or filing.</w:t>
      </w:r>
    </w:p>
    <w:p>
      <w:pPr>
        <w:spacing w:after="0" w:line="17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requires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uncertain. If the CSRC approval is required for any of our offshore listings and capital raising activities, it is uncertain whether we can or how long it will take us to obtain the approval and, even if we obtain such CSRC approval, such CSRC approval could be rescinded. Any failure to obtain or delay in obtaining the CSRC approval for our offshore listings and capital raising activities if such approval is required, or a rescission of such CSRC approval we obtained, would subject us to sanctions imposed by the CSRC or other PRC regulatory authorities, which could include fines and penalties on our operations in the PRC, restrictions or limitations on our ability to pay dividends outside of the PRC, and other forms of sanctions that may materially and adversely affect our business, financial condition, and results of operations.</w:t>
      </w:r>
    </w:p>
    <w:p>
      <w:pPr>
        <w:spacing w:after="0" w:line="16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the regulatory systems to deal with the risks and incidents faced by China-based overseas-listed companies.</w:t>
      </w:r>
    </w:p>
    <w:p>
      <w:pPr>
        <w:spacing w:after="0" w:line="15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together with several other PRC governmental authorities, jointly published the Measures for Cybersecurity Review, with effect from February 15, 2022. Pursuant to these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w:t>
      </w:r>
    </w:p>
    <w:p>
      <w:pPr>
        <w:spacing w:after="0" w:line="15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Offerings and Listings by Domestic Companies, with effect from March 31, 2023, and five supporting guidelines. These measures establish a new regime to regulate overseas offerings and listings by domestic companies. Any future securities offerings and listings outside of mainland China by our company, including, but not limited to, follow-on offerings, issuance of convertible corporate bonds and exchangeable bonds, and other equivalent offering activities, either directly or indirectly, will be subject to the filing requirements with CSRC. Failure to comply with these filing requirements may result in warnings, forced corrections, and fines of not less than RMB1 million and not more than RMB10 million for the PRC companies. The responsible persons may face a warning and fines of not less than RMB0.5 million and not more than RMB5 million. Additionally, fines of not less than RMB1 million and not more than RMB10 million may be imposed on the PRC company’s controlling shareholder(s) and actual controller(s) who organized or instructed the violation. These measures have no retroactive effect and thus are not applicable to our listing and offering prior to the promulgation. Any failure or perceived failure by us to comply with the requirements under these measures may result in forced corrections, warnings and fines against us and could materially hinder our ability to offer or continue to offer our securities. For details of these rules, please see “Item 4. Information on the Company—B. Business Overview—Regulation—Regulations on Concentration in Merger and Acquisition Transactions and Overseas Listings.”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On September 24, 2024, the State Council published the Administrative Measures for Network Data Security with effect from January 1, 2025, which provides that data processors conducting the activities that affect or may affect national security shall apply for cybersecurity review.</w:t>
      </w:r>
    </w:p>
    <w:p>
      <w:pPr>
        <w:spacing w:after="0" w:line="13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connection with the offering of our 2030 Convertible Notes, we have (i) completed the pre-issuance registration with the NDRC and obtained a certificate evidencing such registration, (ii) filed the requisite information on our 2030 Convertible Notes with the NDRC within the time period as required by the NDRC after the issuance of our 2030 Convertible Notes, and (iii) completed the filing with the CSRC within the time period as required under the Trial Administrative Measures of Overseas Securities Offerings and Listings by Domestic Enterprises issued by the CSRC on February 17, 2023 and five supporting guidelines after the completion of the offering of our 2030 Convertible Notes.</w:t>
      </w:r>
    </w:p>
    <w:p>
      <w:pPr>
        <w:spacing w:after="0" w:line="16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If we fail to complete the filing procedures for any future offshore offering or listing, including our follow-on offerings, issuance of convertible corporate bonds and exchangeable bonds, and other equivalent offering activities, we may face sanctions by the CSRC or other PRC regulatory authorities, which may include fines and penalties on our operations in China, limitations on our operating privileges in China, restrictions on or delays to our future financing transactions offshore, or other actions that could have a material and adverse effect on our business, financial condition, results of operations, reputation and prospects, as well as the trading price of our ADSs. In addition, if there are other major events, including, but not limited to, the change of control, any investigation or punishment by overseas securities regulatory authorities or the competent authorities, any change of listing status or listing venue, termination of the listing voluntarily or forcibly, and any change in our major business activities, we cannot assure you that we will be able to complete the filings or reporting and fully comply with the new rules and requirements in a timely manner or at all. See “Item 4. Information on the Company—B. Business Overview—Regulations—Regulations on Concentration in Merger and Acquisition Transactions and Overseas Listings.”</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approval from and filing with the CSRC or other regulatory authorities or other procedures, including the cybersecurity review under the Measures for Cybersecurity Review,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we obtained, would subject us to sanctions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Anti-Monopoly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PRC anti-monopoly enforcement agencies have strengthened enforcement under the PRC Anti-Monopoly Law in recent years. On March 12, 2021, the State Administration for Market Regulation published several administrative penalty cases about concentration of business operators that violated PRC Anti-Monopoly Law in the internet sector. On April 13, 2021, we, together with 33 other major internet platforms in China, attended an administrative guidance meeting for internet platform enterprises jointly convened by the Cyberspace Administration of China, the China Taxation Administration and the State Administration for Market Regulation. In the meeting, we were instructed to examine ourselves within one month to focus on rectifying possible violation of anti-monopoly laws, such as exclusivity arrangements known as “pick one out of two,” abuse of dominant market position, monopolistic agreements, and the illegal concentration of business operators, and to submit compliance commitments for public supervision. The rectification procedures generally include three steps: first, our company to conduct a review of our business operation and make corrective actions and deliver a report to the government authority for review; second, the government authority to provide comments on the report and guidance for our company to achieve compliance with the PRC laws and regulations; and third, the government will make an inspection and confirm the rectification results. Weibo has initiated a self-inspection and rectification following the instructions received in this meeting, and submitted a report which has been accepted by the government authority. However, it is still uncertain how these requirements will be implemented and whether there will be further legislation and administration activities.</w:t>
      </w:r>
    </w:p>
    <w:p>
      <w:pPr>
        <w:spacing w:after="0" w:line="1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November 16, 2021, the State Administration for Market Regulation issued a decision of administrative penalty to Weimeng Chuangke with a fine of RMB500,000 based on the determination that Weimeng Chuangke’s share acquisition of 36% shares of Jinhua Ruian Investment Management Co., Ltd. constituted a concentration of business operators without prior filing pursuant to the Anti-Monopoly Law. Weimeng Chuangke timely paid the fine as required by such decision of administrative penalty.</w:t>
      </w:r>
    </w:p>
    <w:p>
      <w:pPr>
        <w:spacing w:after="0" w:line="15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March 31, 2022, the State Administration for Market Regulation issued a decision of administrative penalty to Weimeng Chuangke with a fine of RMB500,000 based on the determination that Weimeng Chuangke’s share acquisition of 68.9% shares of Shanghai Jiamian Information Technology Co., Ltd. constituted a concentration of business operators without prior filing pursuant to the Anti-Monopoly Law. Weimeng Chuangke timely paid the fine as required by such decision of administrative penalty.</w:t>
      </w:r>
    </w:p>
    <w:p>
      <w:pPr>
        <w:spacing w:after="0" w:line="15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July 11, 2022, the State Administration for Market Regulation issued a decision of administrative penalty to Weimeng Chuangke with a fine of RMB500,000 based on the determination that Weimeng Chuangke’s acquisition of 10% shares of Beijing Hejuhuitong E-commerce Co., Ltd. and obtaining joint control with the other investor and the founders of Beijing Hejuhuitong E-commerce Co., Ltd., constituted a concentration of business operators without prior filing pursuant to the Anti-Monopoly Law. Weimeng Chuangke timely paid the fine as required by such decision of administrative penalty.</w:t>
      </w:r>
    </w:p>
    <w:p>
      <w:pPr>
        <w:spacing w:after="0" w:line="15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adopted the Anti-Monopoly Law, which came into effect on August 1, 2022. This law increases fines for illegal business concentration to a maximum of 10% of the operator’s previous year’s sales revenue if the concentration has the potential to exclude or limit competition. The fine could be up to RMB5 million if the concentration has no effect of excluding or limiting competition. This law also mandates that the PRC authorities can order operators to report concentration, even below the filing threshold, if there is evidence of potential anti-competitive harm.</w:t>
      </w:r>
    </w:p>
    <w:p>
      <w:pPr>
        <w:spacing w:after="0" w:line="14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On January 22, 2024, the State of Council adopted new merger control filing thresholds by promulgating the amended Provisions of the State Council on Thresholds for Prior Notification of Concentration of Undertakings, which took effect upon release. These new provisions substantially increased the turnover thresholds to trigger merger filings in China. Following this amendment, the State Administration for Market Regulation issued the Guidelines for Anti-monopoly Filings of Concentration of Undertakings on January 31, 2024, which provide detailed instructions for business operators on the filing of concentration of undertakings during mergers and acquisitions.</w:t>
      </w:r>
    </w:p>
    <w:p>
      <w:pPr>
        <w:spacing w:after="0" w:line="14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May 6, 2024, the State Administration for Market Regulation issued the Interim Measures on Online Anti-unfair Competition, which came into effect on September 1, 2024. These measures have improved the standards and regulatory requirements for various types of online unfair competition behaviors and highlight the platform operators’ responsibilities and require platforms operators to strengthen the management of competition behavior within the platform.</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December 9, 2025, the State Administration for Market Regulation adopted the amendment to the Provisions on the Prohibition of Monopoly Agreements, which came into effect on February 1, 2026. The amendment mainly introduces a clearer safe harbor regime for vertical monopoly agreements by specifying market share thresholds and turnover conditions under which certain vertical agreements will not be prohibited.</w:t>
      </w:r>
    </w:p>
    <w:p>
      <w:pPr>
        <w:spacing w:after="0" w:line="159" w:lineRule="exact"/>
        <w:rPr>
          <w:sz w:val="20"/>
          <w:szCs w:val="20"/>
          <w:color w:val="auto"/>
        </w:rPr>
      </w:pPr>
    </w:p>
    <w:p>
      <w:pPr>
        <w:jc w:val="both"/>
        <w:ind w:firstLine="648"/>
        <w:spacing w:after="0" w:line="234" w:lineRule="exact"/>
        <w:rPr>
          <w:sz w:val="20"/>
          <w:szCs w:val="20"/>
          <w:color w:val="auto"/>
        </w:rPr>
      </w:pPr>
      <w:r>
        <w:rPr>
          <w:rFonts w:ascii="Times New Roman" w:cs="Times New Roman" w:eastAsia="Times New Roman" w:hAnsi="Times New Roman"/>
          <w:sz w:val="18"/>
          <w:szCs w:val="18"/>
          <w:color w:val="auto"/>
        </w:rPr>
        <w:t>On January 28, 2026, the State Administration for Market Regulation released the Antitrust Compliance Guidelines for Internet Platform Operators which took effect upon release. These guideline provide compliance guidance for internet platform operators on the identification, prevention and management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monopoly risks in platform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operations.</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For more information on PRC Anti-Monopoly Law and related regulations, including the new merger control filing thresholds, see “Item 4. Information on the Company—B. Business Overview—Regulation—Regulations on Anti-Monopoly and Anti-Unfair Competition.”</w:t>
      </w:r>
    </w:p>
    <w:p>
      <w:pPr>
        <w:spacing w:after="0" w:line="13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strengthened enforcement of the Anti-Monopoly Law and the development in the anti-monopoly legal regime in China could result in investigations on our acquisition transactions conducted in the past and make our acquisition transactions in the future more difficult due to the prior filing requirement. The PRC anti-monopoly laws may increase our compliance burden, particularly in the context of the PRC authorities strengthening supervision and enforcement of the Anti-Monopoly Law against internet platforms in recent years. Given that we do not hold a dominant market position in the relevant markets and we have not entered into any monopolistic agreement, our PRC legal advisor, Kewei Law Firm, is of the view that, except for our acquisitions that were under investigation for concentration of business operators or determined by the State Administration for Market Regulation that constituted a concentration of business operators without prior filing required by the Anti-Monopoly Law, we are in compliance with the currently effective PRC anti-monopoly laws in all material aspects; however, if the PRC regulatory authorities identify any of our activities as monopolistic under the PRC Anti-Monopoly Law and its implementing rules or identify us holding a dominant market position or of abusing such dominant position, we may be subject to other investigations and administrative penalties, such as termination of monopolistic act and confiscation of illegal gains.</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are significant uncertainties associated with the evolving legislative activities and varied local implementation practices of anti-monopoly and competition laws and regulations in China, especially with respect to the interpretation, implementation and enforcement of the anti-monopoly laws and regulations. It will be costly for us to adjust our business practices in order to comply with these evolving laws, regulations, rules, guidelines and implementations. Any non-compliance or associated inquiries, investigations and other governmental actions may divert significant management time and attention and our financial resources, lead to negative publicity, liabilities or administrative penalties, therefore materially and adversely affect our financial conditions, operations and business prospects. If we are required to take any rectifying or remedial measures or are subject to any penalties, our reputation and business operations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licensing and regulation of internet businesses.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the licensing and permit requirements pertaining to companies in this industry. Internet-related laws and regulations in China are evolving rapidly, and their interpretation and enforcement involve significant uncertainty. As a result, it may be difficult to determine what actions or omissions may be deemed to be violations of applicable laws and regulations in certain circumstances.</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Weimeng holds an Internet Content Provision License and an Online Culture Operating Permit that are necessary for operating our current business in China. Weimeng also holds an inter-regional Value-Added Telecommunications Services Operating License for provision of value-added telecommunication services nationwide. However, we cannot assure you that we have obtained all the permits or licenses required for conducting our business in China or will be able to maintain our existing licenses or obtain any new licenses if required by any new laws or regulations. See “Item 4. Information on the Company—B. Business Overview—Regulation—Regulations on Online Game Operations and Cultural Products.” Companies engaging in internet broadcasting activities must first obtain an audio/video program transmission license. See “Item 4. Information on the Company—B. Business Overview—Regulation— Regulations on Broadcasting Audio/Video Programs through the Internet” for more details. Weimeng is not qualified to obtain the internet audio/video program transmission license under the current legal regime as it is not a wholly state-owned or state-controlled company and it was not operating prior to the issuance of the Rules for the Administration of Internet Audio and Video Program Services, commonly known as Circular 56. Weimeng plans to apply for an internet audio/video program transmission license when feasible to do so.</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Weimeng has received administrative penalties from time to time due to illegal content posted by its users. We have paid the fine as required and cooperated with the government authorities to take corrective measures, including immediate removal of the audio/video programming, warning or banning live streaming hosts, and improving our ability to identify and intercept illegal content. We have registered with the National Internet Audio-Visual Platforms Information Management System and completed the renewal of such registration on August 14, 2025, through which our operations are supervised and guided by the National Radio and Television Administration and its local branches. However, there is no guarantee that we will be able to timely renew the registration once it expires, or at all. Any failure to obtain the required license or permit to operate our business may subject us to sanctions and penalties, including warnings, fines, and suspension of business operations, which may materially and adversely affect our business, results of operations and financial condition. See “Item 4. Information on the Company—B. Business Overview—Regulation—Regulations on Internet News Dissemination.”</w:t>
      </w:r>
    </w:p>
    <w:p>
      <w:pPr>
        <w:spacing w:after="0" w:line="1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operation of online games in China is highly regulated by the PRC government. The publication of a new online game or a significant upgrade of an existing online game requires approval from the National Press and Publication Administration. There are uncertainties with respect to the interpretation and implementation of the laws and regulations governing online games. Although most of the games on our website have obtained approval from the National Press and Publication Administration, we cannot assure you that all of the online games operated on our platform or by any of the VIEs or their subsidiaries could timely obtain necessary regulatory approval. Operators of online games that fail to obtain the necessary regulatory approval may be subject to various penalties, and the operation of such games could be suspended or discontinued, which could adversely affect our business. In addition, we may be required to obtain an internet publishing permit due to the online game related services we provided and the contents generated by our users. On December 22, 2023, the National Press and Publication Administration released the Online Game Administrative Measures (Draft for Comment), which stipulated that an online game publisher must obtain an internet publishing permit to publish online games and an entity must obtain this license before it can engage in online game operation activities, including virtual currency issuance and transaction services. See “Item 4. Information on the Company—B. Business Overview—Regulation—Regulations on Online Game Operations and Cultural Products—Online games” for more details. As of the date of this annual report, the draft has not been formally adopted.</w:t>
      </w:r>
    </w:p>
    <w:p>
      <w:pPr>
        <w:spacing w:after="0" w:line="1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Weimeng may not be able to obtain an internet publishing permit due to inappropriate or illegal content that users generated. If we fail to obtain such license or any additional licenses required by laws and regulations in the future, we could be subject to liabilities and penalties for providing online publishing services without the necessary licenses, including removal of the online publications, confiscation of illegal income, fines, and/or the closure of our websites, which could lead to severe disruption to our business operation.</w:t>
      </w:r>
    </w:p>
    <w:p>
      <w:pPr>
        <w:spacing w:after="0" w:line="15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adoption of additional laws or regulations with respect to the internet, online games or other online services covering issues such as user privacy, pricing, content, copyrights and distribution may decrease the growth of the internet, online games or other online services, which could in turn decrease the demand for our products and services and increase our cost of doing business.</w:t>
      </w:r>
    </w:p>
    <w:p>
      <w:pPr>
        <w:spacing w:after="0" w:line="1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game publishers and operators fail to maintain the normal publication and operation of their online games, or if they fail to complete or obtain the necessary approvals of their online games, our operations may be negatively impacted, and we may be subject to penalties for live streaming such games.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(AI) or other emerging technologies could adversely impact our business and financial results.</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incorporate algorithms and AI technologies in our products and services, and we are making investments in AI initiatives to further expand our AI capabilities, including ongoing deployment and improvement of existing machine learning and AI technologies, as well as developing new product features using AI technologies.</w:t>
      </w:r>
    </w:p>
    <w:p>
      <w:pPr>
        <w:spacing w:after="0" w:line="13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There are significant risks involved in developing and deploying AI and there can be no assurance that the usage of AI will enhance our products or services or be beneficial to our business, including our profitability. AI technologies are complex and rapidly evolving, and we face significant potential disruption from other companies as well as an evolving regulatory landscape. The continued integration of any AI technologies into our products can result in new or enhanced governmental or regulatory scrutiny, intellectual property claims, litigation, confidentiality or security risks, ethical concerns, negative user perceptions as to automation and AI, or other complications that could adversely affect our business, reputation, or financial results.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the complexity and rapid development of AI, it is also the subject of evolving review by PRC governmental and regulatory agencies. We may not always be able to anticipate how to respond to these frameworks given they are still rapidly evolving. We may also have to expend resources to adjust our product or service offerings in certain jurisdictions if the legal frameworks governing the use of AI are not consistent across jurisdictions. Pursuant to the Administrative Provisions on Algorithm Recommendation of Internet Information Services issued by the Cyberspace Administration of China on December 31, 2021, algorithms recommendation service providers are not allowed to use algorithms to register false user accounts, block information, give excessive recommendations, and users should be given the option to easily turn off algorithm recommendation services. Our social interest graph recommendation engine, which leverages our database of users’ social interest graphs based on their engagement actions on our platform, allows us to push the content that our users may find more relevant and interesting. To comply with these provisions, we have provided an option for our users to limit algorithm-driven recommendations for content and advertisements in certain ways. With more users choosing to turn off the algorithm-driven recommendation function, the advertising efficiency on our platform may be adversely affected, which may adversely impact our financial results. To comply with PRC laws and regulations, we may need to file our algorithms with the PRC regulatory authorities from time to time. As of the date of this annual report, we have completed the filings for five of our algorithms and one of our generative AI services on the Internet Information Service Algorithm Filing System. We have publicly disclosed the operation mechanism used in “Weibo hot search.”</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As the regulatory framework of AI is still at its nascent stage in China, the interpretation and implementation of the existing measures are evolving rapidly and the PRC regulatory agencies, including the Cyberspace Administration of China, may adopt new laws, regulations, rules, implementation measures and interpretation in this field. For example, the Measures for Labelling Artificial Intelligence Generated Contents was issued on March 7, 2025, effective from September 1, 2025, which requires network information service providers to add explicit labels to AI-generated text, images, audio, video and virtual content that may cause confusion or misidentification of the public and implicit labels to the file metadata of AI-generated contents. See “Item 4. Information on the Company—B. Business Overview—Regulation—Regulations on Algorithm Recommendations and Generative AI” for more details. To maintain ongoing compliance, we have established a comprehensive content labeling system on Weibo. Key measures include: embedding implicit identifiers in file metadata, deploying multi-layered AI content identification (user disclosures, algorithmic detection, and manual review) with visible labeling and enhancing our complaint mechanism to specifically address unlabeled AI-generated content reports. In addition, PRC regulatory authorities have recently promulgated the Interim Measures for the Administration of Artificial Intelligence Anthropomorphic Interaction Services, which have not yet taken effect. See “Item 4. Information on the Company—B. Business Overview—Regulation—Regulations on Algorithm Recommendations and Generative AI.” As these measures are newly issued and relevant implementation rules, regulatory guidance and enforcement practices have not yet fully developed, there is uncertainty regarding their interpretation, scope of application and potential impact on AI related products and services. Although we believe that our AI products do not fall within the scope of the Interim Measures for the Administration of Artificial Intelligence Anthropomorphic Interaction Services, including as they are not designed to provide “continuous emotional interaction,” we cannot assure you that PRC regulatory authorities will not adopt a different interpretation or apply such measures, or other existing or future regulations, in a manner that subjects our products to additional or different compliance requirements. Any such determination could require us to modify product features, impose limitations on certain functionalities or take other compliance related measures, which could adversely affect our business, financial condition and results of operations. We will take relevant measures to comply with these new legal requirements, however, we cannot assure you that our compliance measures are, or will be, always considered sufficient under PRC laws and regulations. Any failure or perceived failure to comply with these laws and regulations could cause negative publicity and disruptions to our business operations, subject us to legal liabilities and adversely affect our financial results.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as we expand the use of AI into our product or service offerings, uncertainty with respect to new and emerging AI technologies, such as generative AI, may require us to incur additional investment in the development of appropriate protections and safeguards for handling the use of data with AI technologies, which may be costly and could impact our expenses. AI technologies, including generative AI, may create content that is factually inaccurate or flawed. Such content may expose us to brand or reputational harm and/or legal liability. It is uncertain how various laws related to online services, intermediary liability, and other issues will apply to content generated by AI. The use of certain AI technologies presents emerging ethical and social issues, and if we offer solutions that draw scrutiny or controversy due to their perceived or actual impact on users or on society as a whole, we may experience brand or reputational harm, competitive harm, and/or legal liability. It is not possible to predict all of the risks related to the use of AI, and developments in regulatory frameworks governing the use of AI and in related stakeholder expectations may adversely affect our ability to develop and use AI or subject us to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of loans to PRC entities and direct investment in PRC entities by offshore holding companies may delay or prevent us from using offshore funds to make loans or additional capital contributions to our PRC subsidiaries.</w:t>
      </w:r>
    </w:p>
    <w:p>
      <w:pPr>
        <w:spacing w:after="0" w:line="14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may transfer funds to our PRC subsidiaries or finance our PRC subsidiaries by means of shareholder loans or capital contributions. Any loans from us to our PRC subsidiaries, which is a foreign-invested enterprise, cannot exceed statutory limits based on the difference between the registered capital and the investment amount of such subsidiaries or 200% of its net assets, and shall be registered with the State Administration of Foreign Exchange, or SAFE, or its local counterparts. Any capital contributions we make to our PRC subsidiaries is subject to the requirement of necessary filings in the Foreign Investment Comprehensive Management Information System and registration with other governmental authorities. We may not be able to obtain these government registrations or approvals on a timely basis, if at all. If we fail to receive such registrations or approvals, our ability to provide loans or capital contributions to our PRC subsidiaries in a timely manner may be negatively affected, which could materially and adversely affect our liquidity and our ability to fund and expand our business.</w:t>
      </w:r>
    </w:p>
    <w:p>
      <w:pPr>
        <w:spacing w:after="0" w:line="14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On March 30, 2015, SAFE issued the Circular on Reform of the Administrative Rules of the Payment and Settlement of Foreign Exchange Capital of Foreign-Invested Enterprises, or SAFE Circular 19, which was last amended on March 23, 2023. SAFE Circular 19 adopts a concept of “discretionary conversion,” which is defined as the conversion of a foreign-invested enterprise’s foreign currency registered capital in accordance with the enterprise’s actual business needs. No review of the purpose of the funds is required at the time of conversion under SAFE Circular 19. However, use of any RMB funds converted from its registered capital shall be based on true transactions. In addition, equity investments using converted registered capital are no longer prohibited under SAFE Circular 19.</w:t>
      </w:r>
    </w:p>
    <w:p>
      <w:pPr>
        <w:spacing w:after="0" w:line="14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SAFE issued the Circular on Reforming and Regulating Policies on the Control over Foreign Exchange Settlement of Capital Accounts, or SAFE Circular 16, on June 9, 2016, which became effective on the same day. Pursuant to SAFE Circular 16, enterprises registered in the PRC may also convert their foreign debts from foreign currency to RMB on self-discretionary basis. SAFE Circular 16 provides an integrated standard for conversion of foreign exchange under capital account items (including, but not limited to, foreign currency capital and foreign debts) on self-discretionary basis which applies to all enterprises registered in the PRC. SAFE Circular 16 reiterates the principle that RMB converted from foreign currency-denominated capital of a company may not be directly or indirectly used for purposes beyond its business scope or prohibited by PRC laws or regulations, while such converted RMB shall not be provided as loans to its non-affiliated entities, or used for construction and purchase of non-self-used real estate (excluding real estate enterprises) or unless otherwise expressly provided in law, directly or indirectly used in securities investment or other financial management excluding the bank capital preservation products.</w:t>
      </w:r>
    </w:p>
    <w:p>
      <w:pPr>
        <w:spacing w:after="0" w:line="15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Violations of SAFE Circular 19 and SAFE Circular 16 could result in administrative penalties. SAFE Circular 19 and SAFE Circular 16 may significantly limit our ability to transfer any foreign currency we hold, including the net proceeds from our equity offering and notes offering, to our PRC subsidiaries, which may adversely affect our liquidity and our ability to fund and expand our business in China.</w:t>
      </w:r>
    </w:p>
    <w:p>
      <w:pPr>
        <w:spacing w:after="0" w:line="14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 xml:space="preserve">On October 23, 2019, SAFE issued the Notice of the State Administration of Foreign Exchange on Further Promoting the Facilitation of Cross-border Trade and Investment. This circular allows non-investment foreign-invested enterprises to use their capital funds to make equity investments in China;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investments do not violate the Negative List and that the target investment projects are genuine and in compliance with PRC laws.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or capital contributions we make to our PRC subsidiaries. If we fail to complete such registrations or obtain such approvals, our ability to use the proceeds we received from our equity offering and notes offering and to capitalize or otherwise fund our PRC operations may be negatively affected, which could materially and adversely affect our liquidity and our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penalties, including restriction on our ability to inject capital into our PRC subsidiaries and our PRC subsidiaries’ ability to distribute profits to us, if our PRC resident shareholders beneficial owners fail to comply with PRC foreign exchange rules.</w:t>
      </w:r>
    </w:p>
    <w:p>
      <w:pPr>
        <w:spacing w:after="0" w:line="18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The SAFE promulgated the Circular on Relevant Issues Relating to Domestic Resident’s Investment and Financing and Roundtrip Investment through Special Purpose Vehicles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4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requested all of our current shareholders and/or beneficial owners to disclose whether they or their shareholders or beneficial owners fall within the ambit of Circular 37 and have urged the shareholders and beneficial owners, upon learning they are PRC residents, to register with the local SAFE branch as required under Circular 37. However, 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our failure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Enterprise Income Tax Law provides that an enterprise established outside China or established pursuant to foreign (regional) laws whose “de facto management body” is located in China is considered a “PRC resident enterprise” and will generally be subject to the uniform 25% enterprise income tax on its global income. Under the Implementation Rules of the Enterprise Income Tax Law, “de facto management body” is defined as the organizational body which substantially and comprehensively manages and controls the production and operation, personnel, accounting and properties of an enterprise.</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Notice Regarding the Determination of Chinese-Controlled Offshore Incorporated Enterprises as PRC Tax Resident Enterprises on the Basis of De Facto Management Bodies, issued by the State Administration of Taxation in 2009, a foreign enterprise controlled by PRC enterprises or PRC enterprise groups is considered a PRC resident enterprise if all of the following conditions are met: (i) the senior management and core management departments in charge of daily operations are located mainly within the PRC; (ii) financial and human resources decisions are subject to determination or approval by persons or bodies in the PRC; (iii) major assets, accounting books, company seals and minutes and files of board and shareholders’ meetings are located or kept within the PRC; and (iv) at least half of the enterprise’s directors with voting rights or senior management often reside within the PRC. Although the notice states that these standards only apply to offshore enterprises that are controlled by PRC enterprises or PRC enterprise groups, such standards may reflect the general view of the State Administration of Taxation in determining the tax residence of foreign enterprises.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neither our company nor our Hong Kong subsidiary is a PRC resident enterprise because neither our company nor our Hong Kong subsidiary meets all of the conditions enumerated. For example, board and shareholders’ resolutions of our company and our Hong Kong subsidiary are adopted in Hong Kong and the minutes and related files are kept in Hong Kong. However, if the PRC tax authorities were to disagree with our position, our company and/or our Hong Kong subsidiary may be subject to PRC enterprise income tax reporting obligations and to a 25% enterprise income tax on our global taxable income, except for our income from dividends received from our PRC subsidiary, which may be exempt from PRC tax. If we and/or our Hong Kong subsidiary are treated as a PRC resident enterprise, the 25% enterprise income tax may adversely affect our ability to satisfy any of our cash needs.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if we were to be classified as a PRC “resident enterprise” for PRC enterprise income tax purpose, dividends we pay to our non-PRC enterprise shareholders and gains derived by our non-PRC enterprise shareholders from the sale of our shares and ADSs may be become subject to a 10% PRC withholding tax. In addition, dividends we pay to our non-PRC individual shareholders and gains derived by our non-PRC individual shareholders from the sale of our shares and ADSs may be become subject to a 20% PRC withholding tax. In addition to the uncertainty in how the “resident enterprise” classification could apply, it is also possible that the rules may change in the future, possibly with retroactive effect. If PRC income tax were imposed on gains realized through the transfer of our ADSs or ordinary shares or on dividends paid to our non-resident shareholders, the value of your investment in our ADSs or ordinary shares may be materially and adversely affected. See “Note 9. Income Taxes” in the accompanying notes to the consolidated financial statements included in this annual report on Form 20-F.</w:t>
      </w:r>
    </w:p>
    <w:p>
      <w:pPr>
        <w:spacing w:after="0" w:line="1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limitation on the ability of our PRC subsidiaries to make payments to us, or the tax implications of making payments to us, could have a material adverse effect on our ability to conduct our business or our financial condition.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holding company, and we rely principally on dividends and other distributions from our PRC subsidiaries for our cash needs, including the funds necessary to pay dividends to our shareholders or service any debt we may incur. Current PRC regulations permit our PRC subsidiaries to pay dividends only out of its accumulated profits, if any, determined in accordance with PRC accounting standards and regulations. In addition, our PRC subsidiaries are required to set aside at least 10% of its after-tax profits each year, if any, to fund certain statutory reserve funds until the aggregate amount of such reserve funds reaches 50% of its registered capital. Apart from these reserves, our PRC subsidiaries may allocate discretionary portion of their after-tax profits to staff welfare and bonus funds at their discretion. These reserves and funds are not distributable as cash dividends. Furthermore, if our PRC subsidiaries incur debt, the debt instruments may restrict its ability to pay dividends or make other payments to us. We cannot assure you that our PRC subsidiaries will generate sufficient earnings and cash flows in the near future to pay dividends or otherwise distribute sufficient funds to enable us to meet our obligations, pay interest and expenses or declare dividends.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Distributions made by PRC companies to their offshore parents are generally subject to a 10% withholding tax under the Enterprise Income Tax Law. Pursuant to the Enterprise Income Tax Law and the Arrangement between the Mainland of China and the Hong Kong Special Administrative Region for the Avoidance of Double Taxation and the Prevention of Fiscal Evasion with respect to Taxes on Income, the withholding tax rate on dividends paid by our PRC subsidiaries to our Hong Kong subsidiary would generally be reduced to 5%; provided that our Hong Kong subsidiary is the beneficial owner of the PRC sourced income. Further, the State Taxation Administration promulgated the Announcement of the Certain Issues with Respect to the “Beneficial Owner” in Tax Treaties in 2018, which sets forth certain detailed factors in determining “beneficial owner” status, and specifically, if an applicant’s business activities do not constitute substantive business activities, the applicant will not qualify as a “beneficial owner.” Although our PRC subsidiary is wholly owned by our Hong Kong subsidiary, we will not be able to enjoy the 5% withholding tax rate with respect to any dividends or distributions made by our PRC subsidiary to its parent company in Hong Kong if our Hong Kong subsidiary is not regarded as a “beneficial owner.”</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Weibo Corporation is regarded as a PRC non-resident enterprise and Weibo HK is regarded as a PRC resident enterprise, Weibo HK may be required to pay a 10% withholding tax on any dividends payable to Weibo Corporation and the dividends distributed from Weibo Technology to Weibo HK is not subject to dividend withholding tax. Furthermore, Weibo HK would be subject to PRC enterprise income tax at a rate of 25%. If Weibo Corporation and Weibo HK are each regarded as a PRC non-resident enterprise and satisfy certain conditions, Weibo Technology may be allowed to pay a 5% withholding tax for any dividends payable to Weibo HK as preferential tax treatment.</w:t>
      </w:r>
    </w:p>
    <w:p>
      <w:pPr>
        <w:spacing w:after="0" w:line="17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the remittance of RMB into and out of China and governmental control of currency conversion may limit our ability to pay dividends and other obligations, and affect the value of your investment.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RMB into foreign currencies and the remittance of currency out of China. We receive substantially all of our revenues in RMB and the majority of our cash inflows and outflows are denominated in RMB. Under our current corporate structure, our cash needs are dependent on dividend payments from our subsidiaries in China after it receives payments from the VIEs under various services and other contractual arrangements. We may convert a portion of our RMB into other currencies to meet our foreign currency obligations, such as payments of dividends declared in respect of our ordinary shares, if any. Shortages in the availability of foreign currency may restrict the ability of our PRC subsidiaries to remit sufficient foreign currency to pay dividends or other payments to us, or otherwise satisfy its foreign currency denominated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Class A ordinary shares and/or ADSs.</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preferential tax treatment or imposition of any additional taxes could adversely affect our financial condition and results of operations.</w:t>
      </w:r>
    </w:p>
    <w:p>
      <w:pPr>
        <w:spacing w:after="0" w:line="159"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Enterprise Income Tax Law and its implementing rules have adopted a uniform statutory enterprise income tax rate of 25% to all enterprises in China.</w:t>
      </w:r>
    </w:p>
    <w:p>
      <w:pPr>
        <w:spacing w:after="0" w:line="1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enterprises may still benefit from a preferential tax rate of 15% under the Enterprise Income Tax Law and its implementing rules if they qualify as a “High and New Technology Enterprise” subject to certain general factors described in the Enterprise Income Tax Law and the related regulations. Weibo Technology is entitled to a preferential tax rate of 15% because of its qualification as a “High and New Technology Enterprise” with a certificate issued on November 30, 2023. This certificate will expire on November 30, 2026 unless renewed. The “High and New Technology Enterprise” qualification is subject to annual evaluation and a three-year review by the authorities in China. If Weibo Technology fails to maintain its “High and New Technology Enterprise” qualification, its applicable corporate income tax rate would increase to 25%, which could have an adverse effect on our financial condition and results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there are also news articles reporting that the PRC government may charge data tax in the future potentially by having tech giants that possess huge amount of personal data return portions of their revenues generated by transactions to owners of the data, which may in turn have an adverse effect on our business or financial conditions.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Pursuant to this rule, PRC residents who participate in an employee stock ownership plan or stock option plan in an overseas publicly listed company are required to register with SAFE or its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These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our PRC resident employees who participate in our share incentive plans have been subject to these regulations since our company became publicly listed in the United States. If we or our PRC resident employees who participate in our share incentive plans fail to comply with these regulations in the future, we or our PRC resident employees who participate in our share incentive plans and their local employers may be subject to fines and legal sanctions. See “Item 4. Information on the Company—B. Business Overview —Regulation—Regulations on Employee Stock Options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 in the value of the RMB may have a material adverse effect on the value of your investment.</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The value of Renminbi against the U.S. dollars and other currencies is affected by changes in China’s political and economic conditions and by China’s foreign exchange policies, among other things. We cannot assure you that Renminbi will not appreciate or depreciate significantly in value against the U.S. dollars in the future. It is difficult to predict how market forces or PRC or U.S. government policy may impact the exchange rate between Renminbi and the U.S. dollars in the future.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and costs and expenses are mostly denominated in RMB, and a significant portion of our financial assets are also denominated in RMB, whereas our reporting currency is the U.S. dollars. Any significant depreciation of the RMB may materially and adversely affect our revenues, earnings and financial position as reported in U.S. dollars. To the extent that we need to convert U.S. dollars we received from offerings or debt financing into RMB for our operations, appreciation of the RMB against the U.S. dollars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dollars against the RMB would have a negative effect on the U.S. dollars amount available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laws and regulations establish more complex procedures for some acquisitions of Chinese companies by foreign investors, which could make it more difficult for us to pursue growth through acquisitions in China.</w:t>
      </w:r>
    </w:p>
    <w:p>
      <w:pPr>
        <w:spacing w:after="0" w:line="14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 number of PRC laws and regulations, including the Regulations on Mergers and Acquisitions of Domestic Enterprises by Foreign Investors, the Anti-Monopoly Law, and the Rules of Ministry of Commerce on Implementation of Security Review System of Mergers and Acquisitions of Domestic Enterprises by Foreign Investors promulgated by the Ministry of Commerce in August 2011 have established procedures and requirements that are expected to make merger and acquisition activities in China by foreign investors more time consuming and complex. These include requirements in some instances that the Ministry of Commerce be notified in advance of any change of control transaction in which a foreign investor takes control of a PRC domestic enterprise, or that the approval from the Ministry of Commerce be obtained in circumstances where overseas companies established or controlled by PRC enterprises or residents acquire affiliated domestic companies. PRC laws and regulations also require certain merger and acquisition transactions to be subject to merger control review or security review.</w:t>
      </w:r>
    </w:p>
    <w:p>
      <w:pPr>
        <w:spacing w:after="0" w:line="14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Rules of Ministry of Commerce on Implementation of Security Review System of Mergers and Acquisitions of Domestic Enterprises by Foreign Investors were formulated to implement the Notice of the General Office of the State Council on Establishing the Security Review System for Mergers and Acquisitions of Domestic Enterprises by Foreign Investors, also known as Circular 6, which was promulgated in 2011. Under these rules, a security review is required for mergers and acquisitions by foreign investors having “national defense and security” concerns and mergers and acquisitions by which foreign investors may acquire the “de facto control” of domestic enterprises have “national security” concerns. In addition, when deciding whether a specific merger or acquisition of a domestic enterprise by foreign investors is subject to the security review, the Ministry of Commerce will look into the substance and actual impact of the transaction. These security review rules further prohibit foreign investors from bypassing the security review requirement by structuring transactions through proxies, trusts, indirect investments, leases, loans, control through contractual arrangements or offshore transactions.</w:t>
      </w:r>
    </w:p>
    <w:p>
      <w:pPr>
        <w:spacing w:after="0" w:line="16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There is no requirement for foreign investors in those mergers and acquisitions transactions already completed prior to the promulgation of Circular 6 to submit such transactions to the Ministry of Commerce for security review. As we have already obtained the “de facto control” over our affiliated PRC entities prior to the effectiveness of these rules, we do not believe we are required to submit our existing contractual arrangements to the Ministry of Commerce for security review.</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However, as there is a lack of clear statutory interpretation on the implementation of the same, there is no assurance that the Ministry of Commerce will not apply these national security review-related rules to the acquisition of equity interest in our PRC subsidiaries. If we are found to be in violation of PRC laws and regulations with respect to the merger and acquisition activities in China, or fail to obtain any of the required approvals, the regulatory authorities would have broad discretion in dealing with such violation, including levying fines, confiscating our income, revoking our PRC subsidiaries’ business or operating licenses, requiring us to restructure or unwind the ownership structure or operations. Any of these actions could cause significant disruption to our business operations and may materially and adversely affect our business, financial condition and results of operations. Further, if the business of any target company that we plan to acquire falls into the ambit of security review, we may not be able to successfully acquire such company either by equity or asset acquisition, capital contribution or through any contractual arrangement. We may grow our business in part by acquiring other companies operating in our industry. Complying with the requirements of the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1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 Administration of Taxation has issued several rules and notices to tighten the scrutiny over acquisition transactions, including the Notice on Certain Corporate Income Tax Matters Related to Indirect Transfer of Properties by Non-PRC Resident Enterprises issued in February 2015. Pursuant to these rules and notices, except for a few circumstances falling into the scope of the safe harbor provided by this circular, such as open market trading of stocks in public companies listed overseas, if a non-PRC resident enterprise indirectly transfers PRC taxable properties (i.e., properties of an establishment or a place in the PRC, real estate properties in the PRC or equity investments in a PRC tax resident enterprise) by disposing of equity interest or other similar rights in an overseas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This circular sets out several factors to be taken into consideration by tax authorities in determining whether an indirect transfer has a reasonable commercial purpose, such as whether the main value of equity interest in an overseas holding company is derived directly or indirectly from PRC taxable properties. An indirect transfer satisfying all the following criteria will be deemed to lack reasonable commercial purpose and be taxable under PRC law without considering other factors set out by this circular: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income tax on the direct transfer of such assets. This circular also introduces an interest regime by providing that where a transferor fails to file and pay tax on time, and where a withholding agent fails to withhold the tax, interest will be charged on a daily basis. Both the foreign transferor and the transferee, and the PRC tax resident enterprise whose equity interests are being transferred may voluntarily report the transfer by submitting the documents required in this circular.</w:t>
      </w:r>
    </w:p>
    <w:p>
      <w:pPr>
        <w:spacing w:after="0" w:line="16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Although this circular provides clarity in many important areas, such as reasonable commercial purpose, there are still uncertainties on the tax reporting and payment obligations with respect to future private equity financing transactions, share exchange or other transactions involving the transfer of shares in non-PRC resident companies. Our company and other non-resident enterprises in our group may be subject to filing obligations or being taxed if our company and other non-resident enterprises in our group are transferors in such transactions, and may be subject to withholding obligations if our company and other non-resident enterprises in our group are transferees in such transactions. For the transfer of shares in our company by investors who are non-PRC resident enterprises, our PRC subsidiaries may be requested to assist in the filing under the rules and notices. As a result, we may be required to expend valuable resources to comply with these rules and notices or to request the transferors from whom we purchase taxable assets to comply, or to establish that our company and other non-resident enterprises in our group should not be taxed under these rules and notices, which may have a material adverse effect on our financial condition and results of operations.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the PRC tax authorities will not, at their discretion, adjust any capital gains and impose tax return filing obligations on us or require us to provide assistance for the investigation of PRC tax authorities with respect thereto. In the future, we may conduct acquisitions or disposals of properties that may involve complex corporate structures. If the PRC tax authorities make adjustments to the taxable income of these transactions under this circular, our income tax expenses associated with such potential transactions may be increased, which may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the real properties that we lease.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lease office space for our operations in China. Any defects in lessors’ title to the leased properties may disrupt our use of our offices, which may in turn adversely affect our business operations. For example, certain buildings and the underlying land are not allowed to be used for industrial or commercial purposes without the authorities’ approval, and the lease of such buildings to companies like us may subject the lessor to pay premium fees to the PRC government. We cannot assure you that the lessor has obtained all or any of approvals from the governmental authorities. In addition, some of our lessors have not provided us with documentation evidencing their title to the leased properties. We cannot assure you that title to these properties we currently lease will not be challenged. In addition, we have not registered most of our lease agreements with the PRC governmental authorities as required by PRC law, and although failure to do so does not in itself invalidate the leases, we may not be able to defend these leases against bona fide third parties.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actions, claims or investigations being contemplated by government authorities with respect to the defects in our leased real properties or any challenges by third parties to our use of these properties. However, if third parties who purport to be property owners or beneficiaries of the mortgaged properties challenge our right to use the leased properties, we may not be able to protect our leasehold interest and may be ordered to vacate the affected premises, which could in turn materially and adversely affect our business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labor laws and make adequate contributions to various employee benefit plans as required by PRC regulations may subject us to penalties.</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Companies operating in China are required to register with governmental authorities and participate in various government sponsored employee benefit plans, including certain social insurance and housing funds, and contribute to these plans in amounts equal to certain percentages of salaries, including bonuses and allowances, of employees up to a maximum amount specified by the local government authorities from time to time at the locations where those employees are based. However, requirements relating to employee benefit plans have not been implemented consistently by local governments in China, given the different levels of economic development in different regions. We believe that we have made adequate social insurance and housing fund contributions for the majority of our employees, however, we cannot assure you that local governments will not have different views as to what constitutes strict compliance with the requirements for contributions to employee benefit plans. Our social insurance and housing fund contributions for a small number of our employees with performance-based salaries may not be adequate, as we could not foresee these employees’ performance and therefore their salaries accurately. We may be required to make up the contributions for these employee benefit plans as well as to pay late fees and fines.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deposits in certain banks in China may be at risk if these banks go bankrupt or otherwise do not have the liquidity to pay us during our deposit period.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2025, we had US$2.4 billion in cash and cash equivalent, and short-term investments, such as bank time deposits, with large domestic banks in China. Our remaining cash, cash equivalents and short-term investments were held by financial institutions in the United States and Hong Kong. The terms of these deposits are, in general, up to twelve months. Historically, deposits in Chinese banks were viewed as secure due to the state policy on protecting depositors’ interests. However, the Bankruptcy Law that came into effect in 2007 contains an article expressly stating that the State Council may promulgate implementation measures for the bankruptcy of Chinese banks based on the Bankruptcy Law, so the law contemplates the possibility that a Chinese bank may go bankrupt. In addition, foreign banks have been gradually permitted to operate in China since China’s accession to the World Trade Organization and have become strong competitors of Chinese banks in many respects, which may have increased the risk of bankruptcy or illiquidity for Chinese banks, including those in which we have deposits. In the event of bankruptcy or illiquidity of any one of the banks which holds our deposits, we are unlikely to claim our deposits back in full since we are unlikely to be classified as a secured creditor based on PRC laws.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 2015, China’s new Deposit Insurance Regulation came into effect, pursuant to which banking financial institutions, such as commercial banks, established in China will be required to purchase deposit insurance for deposits in RMB and in foreign currency. Under this regulation, depositors will be fully indemnified for their deposits and interests in an aggregate amount up to a limit of RMB500,000. Deposits or interests over such limit will only be covered by the bank’s liquidation assets. Therefore, although this requirement to purchase deposit insurance may help, to a certain extent, prevent Chinese banks from going bankrupt, it would not be effective in providing effective protection for our accounts, as our aggregate deposits are much higher than the compensation limit.</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Class A ordinary shares and ADS.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the VIEs and their subsidiaries in China. Our operations in China are governed by PRC laws and regulations. The PRC government has significant oversight and discretion over the conduct of our business, and it may influence our operations, which could result in a material adverse change in our operation and the value of our Class A ordinary shares and ADSs. Also, the PRC government has indicated an intent to exert more oversight and control over offerings that are conducted overseas and foreign investment in China-based issuers in recent years. Any such action could significantly limit or completely hinder our ability to offer or continue to offer securities to investors.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external auditor’s audit procedures and reported financial information and the quality of our financial statements.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April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2023 or 2024. As of the date of this annual report, the PCAOB has not issued any new determination that it is unable to inspect or investigate completely registered public accounting firms headquartered in any jurisdiction.</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ADSs and Class A ordinary shares are fully fungible, we cannot assure your that an active trading market for our Class A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 to Provisions on Strengthening the Management of Confidentiality and Archives regarding Overseas Securities Offerings and Listings by Domestic Companies, which became effective on March 31, 2023, PRC domestic companies, securities companies and securities service institutions must obtain the necessary approval before providing documents and information in response to inspections and investigations by overseas regulators. These inspections and investigations should be conducted via the cross-border supervision mechanism whereby the PRC regulators will provide necessary assistance. For a detailed discussion, see “Item 4. Information on the Company—B. Business Overview—Regulation—Regulations on Information Security.” The inability for an overseas securities regulator to directly conduct investigation or evidence collection activities within China may further increase difficulties faced by you in protecting your interests.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In addition, the U.S.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Weibo Corporation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In addition, on December 18, 2025, the Comprehensive Outbound Investment National Security Act of 2025 (the “COINS Act”), was signed into law. The COINS Act will keep the core of the Outbound Investment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ADSs may significantly decline in value.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ADSs and 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adopt different practices as to certain matters as compared with many other companies listed on the Hong Kong Stock Exchange.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completed our global offering in Hong Kong in December 2021 and the trading of our Class A ordinary shares on the Hong Kong Stock Exchange commenced on December 8, 2021 under the stock code “9898.” As a company listed on the Hong Kong Stock Exchange pursuant to Chapter 19C of the Hong Kong Listing Rules, we are subject to certain provisions of the Hong Kong Listing Rules pursuant to Rule 19C.11, including rules on notifiable transactions, connected transactions, share option schemes, content of financial statements as well as certain other continuing obligations. In addition, in connection with our HK Listing, we have applied for a number of waivers and/or exemptions from strict compliance with the Hong Kong Listing Rules, the Companies (Winding Up and Miscellaneous Provisions) Ordinance, the Takeovers Codes and the SFO. As a result, we adopt different practices as to those matters as compared with other companies listed on the Hong Kong Stock Exchange that do not enjoy those exemptions or waivers.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the Takeovers Codes and the SFO, which could result in us having to change our corporate structure and amend our memorandum and articles of association and we may incur additional compliance costs.</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prices for our listed securities have been and are likely to continue to be, volatile, regardless of our operating performance, which could result in substantial losses to our investors.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trading prices of our listed securities have been and are likely to continue to be volatile and could fluctuate widely in response to in response to a variety of factors, many of which are beyond our control. For example, in 2025, the trading price of our ADSs ranged from US$7.10 to US$12.96 per ADS and the trading price of our Class A ordinary shares has ranged from HK$58.20 to HK$103.10 per share. The trading prices of our listed securities are likely to remain volatile and could fluctuate widely due to factors beyond our control. This may happen because of broad market and industry factors, like the performance and fluctuation of the trading prices of other companies with business operations located mainly in China that have listed their securities in Hong Kong and/or the United States, or because of trends in the global economy in general or the Chinese economy in particular, or because of international geopolitical tensions. A number of Chinese companies have listed or are in the process of listing their securities on stock markets in Hong Kong and/or the United States. The securities of some of these companies have experienced significant volatility, including price declines in connection with their public offerings. The trading performances of these Chinese companies’ securities after their offerings may affect the attitudes of investors toward Chinese companies listed in Hong Kong and/or the United States in general and consequently may impact the trading performance of our Class A ordinary shares and/or ADSs, regardless of our actual operating performance.</w:t>
      </w:r>
    </w:p>
    <w:p>
      <w:pPr>
        <w:spacing w:after="0" w:line="19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Class A ordinary shares and/or ADSs may be highly volatile for factors specific to our own operations, including (but not limited to) the following:</w:t>
      </w:r>
    </w:p>
    <w:p>
      <w:pPr>
        <w:spacing w:after="0" w:line="176"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cash flow and data related to our active user base or user engagement;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or SINA;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programs;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additional ADSs or other equity-related securities in the public markets, or issuance of ADSs upon conversion of convertible senior notes we issued, or the perception of these events;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dispositions, or perceived potential sales or dispositions of our Class A ordinary shares, ADSs, or other equity or equity-linked securities in the public market could cause the price of our Class A ordinary shares and/or ADSs to decline significantly.</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Sales of our Class A ordinary shares, ADSs, or other equity or equity-linked securities in the public market, or the perception that these sales could occur, could cause the trading price of our Class A ordinary shares and/or ADSs to decline significantly. All of our Class A ordinary shares represented by ADSs were freely transferable by persons other than our affiliates without restriction or additional registration under the U.S. Securities Act. The Class A ordinary shares held by our affiliates are also available for sale, subject to volume and other restrictions as applicable under Rule 144 of the U.S. Securities Act any applicable lock-up agreement, under trading plans adopted pursuant to Rule 10b5-1 or otherwise. SINA has pledged half of its shares in our company to secure its obligation under the facility agreement governing SINA’s loan, for detailed risks underlying this arrangement, please see “—Risks Relating to Our Relationship with SINA—SINA has pledged half of the Class B ordinary shares held by it in our company to secure a syndicate loan and might from time to time pledge additional Class B ordinary shares held by it in our company. The potential default by SINA on the underlying loans or the potential for SINA to pledge additional Class B ordinary shares in our company poses a risk of change in control.” If SINA defaults on its obligation under the facility agreement governing SINA’s loan, the security agent may dispose of or cause SINA to dispose of the pledged shares. We cannot predict what effect, if any, market sales of securities held by our controlling shareholders or any other shareholder or the availability of these securities for future sale will have on the trading price of our Shares and ADSs.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Divestiture in the future of our Class A ordinary shares and/or ADSs by shareholders, the announcement of any plan to divest our Class A ordinary shares and/or ADS, or hedging activity by third-party financial institutions in connection with similar derivative or other financing arrangements entered into by shareholders, could cause the price of our Class A ordinary shares and/or ADSs to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Class A ordinary shares and/or ADSs, the trading price for our Class A ordinary shares and/or ADSs and trading volume could decline.</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ordinary shares and/or ADSs will be influenced by research or reports that industry or securities analysts publish about our business. If one or more analysts who cover us downgrade our Class A ordinary shares and/or ADSs, the trading price for our Class A ordinary shares and/or ADSs would likely decline. If one or more of these analysts cease to cover us or fail to regularly publish reports on us, we could lose visibility in the financial markets, which in turn could cause the trading price or trading volume for our Class A ordinary shares and/or ADSs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or perceived sale or availability for sale, of substantial amounts of our ADSs could adversely affect their trading price.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substantial amounts of our Class A ordinary shares and/or ADSs in the public market, or the perception that these sales could occur, could adversely affect the trading price of our Class A ordinary shares and/or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trading price of our Class A ordinary shares and/or ADSs.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three votes per share. All of the outstanding ordinary shares held by SINA as of the date of this annual report are Class B ordinary shares. All other ordinary shares that are outstanding as of the date of this annual report are Class A ordinary shares. We intend to maintain the dual-class voting structure in the future. Each Class B ordinary share is convertible into one Class A ordinary share at any time by the holder thereof Class A ordinary shares are not convertible into Class B ordinary shares under any circumstances. Upon (a) any sale, transfer, assignment or disposition of Class B ordinary shares by a holder thereof to any person or entity which is not the Founder (as defined under our memorandum and articles of association) or a Founder’s Affiliate (as defined under our memorandum and articles of association); or (b) a change of control of any direct or indirect holder of any Class B ordinary shares, including, but not limited to, any person other than the Founder or a Founder’s affiliate gaining “Control” over any of the “SINA Parent Companies” (e.g., by entering into an agreement with the Founder to jointly control the SINA Parent Companies), and even if the Founder or a Founder’s Affiliate remains to have joint “Control” of the SINA Parent Companies, all of the Class B ordinary shares to be held by such person or entity that is not the Founder or a Founder’s Affiliate shall be automatically and immediately converted (by way of being re-designated) into an equal number of Class A ordinary shares. In addition, each Class B ordinary share shall automatically and immediately be converted (by way of being re-designated) into one Class A ordinary share if at any time SINA and its Affiliates (as defined in our memorandum and articles of association) in the aggregate hold less than five percent (5%) of the issued Class B ordinary shares in our company, and no Class B ordinary shares shall be issued by our company thereafter.</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“Control” shall mean having (A) the power to control the management or elect a majority of members to the board of directors or equivalent decision-making body of, or (B) the power to exercise or control the exercise of 50% or more of the voting power (through power of attorney, voting proxies, shareholders’ agreements or otherwise) at the general meetings or other equivalent decision-making body of, such corporation, partnership or other entity. “SINA Parent Companies” shall mean the holding companies of Weibo Corporation, including New Wave MMXV Limited, Sina Group Holding Company Limited, SINA Corporation and any other intermediate holding company(ies) of Sina Corporation that may be established in the future.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Due to the disparate voting powers attached to these two classes of ordinary shares, SINA owned approximately 35.7% of our total issued and outstanding ordinary shares and 62.5% of the voting power of our outstanding shares as of March 31, 2026. As a result of the dual-class share structure and the concentration of ownership, SINA will have considerable influence over matters requiring shareholders’ approval under Cayman Islands law, our memorandum and articles of association and Nasdaq requirements, including the election and removal of directors, the number of shares available for issuance under share incentive plans, increase of share capital, consolidation of shares and subdivision of shares, and significant corporate transactions, such as a merger or sale of our company.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listed securities. This concentration of ownership will limit your ability to influence corporate matters and could discourage others from pursuing any potential merger, takeover or other change of control transactions that holders of Class A ordinary shares and ADSs may view as beneficial.</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 addition, SINA is not prohibited from selling a controlling interest in us to a third party and may do so without the approval of the Class A ordinary shares and/or ADS holders and without providing for a purchase of the Class A ordinary shares held by investors and/or ADSs held by the ADS holders. SINA has pledged half of its shares in our company to secure its obligation under the facility agreement governing SINA’s loan, for detailed risks underlying this arrangement, please see “—Risks Relating to Our Relationship with SINA—SINA has pledged half of the Class B ordinary shares held by it in our company to secure a syndicate loan and might from time to time pledge additional Class B ordinary shares held by it in our company. The potential default by SINA on the underlying loans or the potential for SINA to pledge additional Class B ordinary shares in our company poses a risk of change in control.” If SINA defaults on its obligation under the facility agreement governing SINA’s loan, the security agent may dispose of or cause SINA to dispose of the pledged shares.</w:t>
      </w:r>
    </w:p>
    <w:p>
      <w:pPr>
        <w:spacing w:after="0" w:line="14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If SINA is acquired or otherwise undergoes a change of control, any acquirer or successor will be entitled to exercise the voting control and contractual rights of SINA, and may do so in a manner that could vary significantly from that of SINA.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trading price of our ADSs and/or Class A ordinary shares and could diminish our cash reserves.</w:t>
      </w:r>
    </w:p>
    <w:p>
      <w:pPr>
        <w:spacing w:after="0" w:line="18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December 2025, our board of directors authorized a share repurchase program under which we may repurchase up to US$200 million of our shares, including in the form of ADS, over the next 12 months, effective until December 31, 2026.</w:t>
      </w:r>
    </w:p>
    <w:p>
      <w:pPr>
        <w:spacing w:after="0" w:line="12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Our board of directors also has the discretion to authorize additional share repurchase programs in the future. The share repurchase programs do not obligate us to repurchase any specific dollar amount or any specific number of ADSs. We cannot guarantee that any share repurchase program will enhance long-term shareholder value. Our share repurchase programs could affect and increase the volatility of the trading price of our listed securities. Our share repurchase programs may be suspended or terminated at any time, which may result in a decrease in the trading price of our Class A ordinary shares and/or ADSs. Furthermore, share repurchases may further diminish our cash reserves.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trading price of our Class A ordinary shares and/or ADSs.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stockholder’s equity, and any investment in our Class A ordinary shares and/or ADSs could be greatly reduced or rendered worthless.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should primarily rely on price appreciation of our Class A ordinary shares and/or ADSs for return on your investment.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adopted a cash dividend policy in March 2025. Under the policy, we may choose to declare and distribute a cash dividend each year in accordance with our memorandum and articles of association and applicable laws and regulations.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Our board of directors has complete discretion as to whether to distribute dividends, subject to Cayman Islands law. In addition, our shareholders may by ordinary resolution declare dividends, but no dividend may exceed the amount recommended by our directors. Under Cayman Islands law, our company may pay dividends only out of either profit or share premium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circumstances may a dividend be paid if this would result in our company being unable to pay its debts as they fall due in the ordinary course of business. Our board of directors may also revise our dividend policy or it may choose to cancel our dividend policy entirely. Even if our board of directors decides to declare and pay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Accordingly, the return on your investment in our Class A ordinary shares and/or ADSs will likely depend entirely upon any future price appreciation of our listed securities. There is no guarantee that our listed securities will appreciate in value in the future or even maintain the price at which you purchased them. You may not realize a return on your investment in our Class A ordinary shares and/or ADSs and you may even lose your entire investment in our securities.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transfer of our Class A ordinary shares and/or ADSs.</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Enterprise Income Tax Law and its implementation rules, subject to any applicable tax treaty or similar arrangement between the PRC and the jurisdiction of residence of the holders of our Class A ordinary share and/or ADSs that provides for a different income tax arrangement, PRC withholding tax at the rate of 10% is normally applicable to dividends from PRC sources payable to investors that are non-PRC resident enterprises, which do not have an establishment or place of business in the PRC, or which have such establishment or place of business if the income is not effectively connected with the establishment or place of business. Any gain realized on the transfer of ADSs or shares by such non-PRC resident enterprise investors is also subject to 10% PRC income tax if such gain is regarded as income derived from sources within the PRC, unless a tax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American depositary shares or shares are generally subject to 20% PRC income tax, in each case, subject to any reduction or exemption set forth in applicable tax treaties and similar arrangements and PRC laws. Although substantially all of our business operations are in China, it is unclear whether dividends we pay with respect to our Class A ordinary shares and/or ADSs, or the gain realized from the transfer of our Class A ordinary shares and/or ADSs, would be treated as income derived from sources within the PRC and as a result be subject to PRC income tax if we were considered a PRC resident enterprise, as described above. If PRC income tax were imposed on gains realized through the transfer of our ADSs or on dividends paid to our non-PRC resident investors, the value of your investment in our Class A ordinary shares and/or ADSs may be materially and adversely affected. Furthermore, the holders of our Class A ordinary shares and/or ADSs whose jurisdictions of residence have tax treaties or similar arrangements with China may not qualify for benefits under such tax treaties or arrangements.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likely that we will be a passive foreign investment company for U.S. federal income tax purposes for the taxable year ended December 31, 2025, and possibly for the current taxable year and future taxable years, which could result in adverse U.S. federal income tax consequences to U.S. Holders of our ADSs or Class A ordinary shares.</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non-U.S. corporation, such as our company, will be a passive foreign investment company (“PFIC”) for U.S. federal income tax purposes for any taxable year if either (i) 75% or more of its gross income for such year consists of “passive” income or (ii) 50% or more of the value of its assets (generally determined on the basis of a quarterly average) during such year produce or are held for the production of passive income, or the asset test. Passive income generally includes dividends, interest, royalties, rents, annuities, net gains from the sale or exchange of property producing such income and net foreign currency gains. For this purpose, cash and assets readily convertible into cash are generally categorized as passive assets, and goodwill and other unbooked intangibles associated with active business activity are generally taken into account as non-passive assets. We will be treated as owning our proportionate share of the assets and earning our proportionate share of the income of any other corporation in which we own, directly or indirectly, at least 25% (by value) of the stock.</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VIEs as being owned by us for U.S. federal income tax purposes because we control their management decisions, we are entitled to substantially all of their economic benefits, and, as a result, we consolidate their results of operations in our consolidated U.S. GAAP financial statements. If it were determined, however, that we do not own the VIEs for U.S. federal income tax purposes, it may increase the likelihood that we will be treated as a PFIC for our current taxable year and any subsequent taxable year.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on our current and expected income and assets, including unbooked goodwill (the value of which is determined by reference to the market value of our ADSs and Class A ordinary shares), it is likely that we were a PFIC for the taxable year ended December 31, 2025, and could continue to be a PFIC for the current and subsequent taxable years. In addition, it is possible that any subsidiary that we own or are treated as owning for U.S. federal income tax purposes would also be a PFIC for such taxable years.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as defined in “Item 10. Additional Information—E. Taxation —U.S. Federal Income Tax Considerations,” holds our ADSs or Class A ordinary shares, as applicable, such holder may incur significantly increased U.S. federal income tax on gain recognized on the sale or other disposition of its ADSs or Class A ordinary shares and on the receipt of distributions on its ADSs or Class A ordinary shares. Such holder may also be subject to burdensome reporting requirements. Further, if we are a PFIC for any year during which a U.S. Holder holds our ADSs or Class A ordinary shares, as applicable, we will generally continue to be treated as a PFIC with respect to such holder for all succeeding years during which such holder holds our ADSs or Class A ordinary shares, even if we subsequently cease to be a PFIC for U.S. federal income tax purposes. See “Item 10. Additional Information—E. Taxation—U.S. Federal Income Tax Considerations—Passive Foreign Investment Company Considerations.”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14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trading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Class A ordinary shares and/or ADSs may fall and the voting and other rights of the holders of our ordinary shares and ADSs may be materially and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or Hong Kong courts may be limited, because we are incorporated under Cayman Islands law.</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Revised) of the Cayman Islands and the common law of the Cayman Islands. The rights of our shareholders to take action against our directors, actions by our minority shareholders and the fiduciary duties of our directors to our company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or Hong Kong.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 Cayman Islands companies may not have standing to initiate a shareholder derivative action in a federal court of the United States or a court in Hong Kong.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Cayman Islands courts are also unlikely:</w:t>
      </w:r>
    </w:p>
    <w:p>
      <w:pPr>
        <w:spacing w:after="0" w:line="225" w:lineRule="exact"/>
        <w:rPr>
          <w:sz w:val="20"/>
          <w:szCs w:val="20"/>
          <w:color w:val="auto"/>
        </w:rPr>
      </w:pPr>
    </w:p>
    <w:p>
      <w:pPr>
        <w:ind w:left="100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us judgments of courts of the United States based on certain civil liability provisions of U.S. securities laws;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liabilities against us, in original actions brought in the Cayman Islands, based on certain civil liability provisions of U.S. securities laws that are penal in nature.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those circumstances,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and Hong Kong. To the extent we choose to follow home country practice with respect to corporate governance matters, our shareholders may be afforded less protection than they otherwise would under rules and regulations applicable to U.S. domestic issuers or companies incorporated in Hong Kong.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exempted company and substantially all of our assets are located outside of the United States. Substantially all of our current operations are conducted in China. In addition, a majority of our current directors and executive officers reside outside the United States or Hong Kong, whose assets are substantially located outside the United States. As a result, it may be difficult or impossible for our shareholders to bring an action against us or against these individuals in the United States or Hong Kong in the event that such shareholders believe that their rights have been infringed under the U.S. federal securities laws, Hong Kong laws, or otherwise. Even if such shareholders are successful in bringing an action of this kind, the laws of the Cayman Islands and of China may render such shareholders unable to enforce a judgment against our assets or the assets of our directors and officers.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18, 2019, the Supreme Court of the People’s Republic of China and the Department of Justice under the Government of the Hong Kong Special Administrative Region signed the Arrangement on Reciprocal Recognition and Enforcement of Judgments in Civil and Commercial Matters by the Courts of the Mainland and of the Hong Kong Special Administrative Region, which became effective on January 29, 2024. This arrangement seeks to establish a mechanism for judgment recognition and enforcement with greater clarity and certainty in a wider range of civil and commercial matters between the mainland China and Hong Kong Special Administrative Region. Under this arrangement, a “choice of court” agreement in writing is no longer required for bilateral judgment recognition and enforcement. This arrangement will allow a broader range of civil and commercial judgments of the mainland China courts to be enforced in Hong Kong.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48" w:lineRule="exact"/>
        <w:rPr>
          <w:sz w:val="20"/>
          <w:szCs w:val="20"/>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with the SEC on Form 6-K. However, the information we are required to file or furnish with the SEC will be less extensive and less timely compared to that required to be filed with the SEC by U.S. domestic issuers.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permitted by The Nasdaq Stock Market Rules to elect to rely, and have elected to rely, on certain exemptions from corporate governance requirements:</w:t>
      </w:r>
    </w:p>
    <w:p>
      <w:pPr>
        <w:spacing w:after="0" w:line="162"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be comprised of a majority of independent directors under Nasdaq Rule 5605(b)(1);</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an audit committee be comprised of at least three members under Nasdaq Rule 5605(c)(2)(A);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000" w:right="20" w:hanging="317"/>
        <w:spacing w:after="0" w:line="25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that shareholder approval be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under Nasdaq Rule 5635(c).</w:t>
      </w:r>
    </w:p>
    <w:p>
      <w:pPr>
        <w:spacing w:after="0" w:line="1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you may not be afforded the same protections or information, which would be made available to you, were you investing in a U.S. domestic issuer.</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4, 2025, the SEC published a Concept Release on Foreign Private Issuer Eligibility inviting public comment on potential amendments to the definition of “foreign private issuer.” None of the proposals contained in the Concept Release has been adopted by the SEC. However, if the SEC adopts rule changes that modify the definition of “foreign private issuer” and we cease to qualify as a foreign private issuer as a result, we would be required to comply with the more stringent disclosure and procedural requirements applicable to U.S. domestic issuers. Such a transition could require substantial modifications to our corporate governance practices and result in significantly increased compliance costs.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have fewer rights than holders of our Class A ordinary shares and must act through the depositary to exercise those rights.</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Holders of our ADSs do not have the same rights as our shareholders and may only exercise the voting rights with respect to the underlying Class A ordinary shares represented by the ADSs in accordance with the provisions of the deposit agreement. Holders of ADSs may not attend general meetings of our shareholders or cast any votes directly at such meetings. Under the deposit agreement, ADS holders must vote by giving voting instructions to the depositary, as the holder of the underlying Class A ordinary shares which are represented by your ADSs. Upon receipt of your voting instructions, the depositary will endeavor to vote the underlying ordinary shares in accordance with your instructions. You will not be able to directly exercise any right to vote with respect to the underlying Class A ordinary shares at any general meeting of our shareholders unless you withdraw such shares and become the registered holder of such shares prior to the record date for the general meeting. Under our fourth amended and restated memorandum and articles of association, the minimum notice period required to be given by our company to our registered shareholders for convening an annual general meeting is 21 days and the minimum notice period required to be given by our company to our registered shareholders for convening an extraordinary general meeting is 14 days. When a general meeting is convened, ADS holders may not receive sufficient advance notice to enable them to withdraw the Class A ordinary shares underlying their ADSs and become the registered holder of such shares prior to the record date for the general meeting to allow you to attend the general meeting and to vote directly with respect to any specific matter or resolution which is to be considered and voted upon at the general meeting. In addition, under our fourth amended and restated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ADS holders from withdrawing the shares underlying their ADSs and becoming the registered holder of such shares prior to the record date, so that ADS holders would not be able to attend the general meeting or to vote directly. Where any matter is to be put to a vote at a general meeting, the depositary will endeavor to notify ADS holders of the upcoming vote and will arrange to deliver our voting materials to them. We cannot assure that ADS holders will receive the voting materials in time to ensure that they can instruct the depositary to vote the shares underlying their ADSs. In addition, the depositary and its agents will not be responsible for any failure to carry out any instructions to vote, for the manner in which any vote is cast or for the effect of any such vote. As a result, holders of ADSs may not be able to exercise their right to vote and may lack recourse if the underlying Class A ordinary shares represented by their ADSs are not voted as they requested.</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holders of ADSs do not give instructions to the depositary as to how to vote at shareholders’ meetings, except in limited circumstances, the depositary for our ADSs will give us a discretionary proxy to vote the Class A ordinary shares underlying their ADSs, which could adversely affect their interests.</w:t>
      </w:r>
    </w:p>
    <w:p>
      <w:pPr>
        <w:spacing w:after="0" w:line="1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deposit agreement for the ADSs, if holders of ADSs do not timely and properly give voting instructions to the depositary as to how to vote the shares underlying their ADSs at any particular shareholders’ meeting, the depositary will give us (or our nominee) a discretionary proxy to vote the Class A ordinary shares underlying their ADSs at the shareholders’ meeting unless:</w:t>
      </w:r>
    </w:p>
    <w:p>
      <w:pPr>
        <w:spacing w:after="0" w:line="135"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notice of meeting and related voting materials;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effect of this discretionary proxy is that if holders of ADSs do not timely and properly give voting instructions to the depositary as to how to vote the Class A shares underlying their ADSs at any particular shareholders’ meeting, they cannot prevent the Class A ordinary shares underlying their ADSs from being voted, except under the circumstances described above. This may make it more difficult for holders of ADSs to influence the management of our company. Holders of our ordinary shares are not subject to this discretionary proxy.</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ADS holders may be subject to limitations on transfer of their ADSs.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certain cases, 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certain of our current or former directors or officers may be subject to legal, regulatory and administrative proceedings.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been and we may again be involved in lawsuits in the United States in the future. For example, on March 15, 2021, plaintiffs GeoSolutions B.V. and GeoSolutions Holdings N.V. filed a complaint in the California Superior Court, Santa Clara County, naming as defendants, among others, our company, the Chairman of our Board of Directors, our Chief Executive Officer, and our parent company Sina Corporation. The complaint alleges unlawful use of plaintiffs’ location-based services technology by the defendants and a series of other claims. Our company, together with other served defendants, have removed the case from state court to the United States District Court for the Northern District of California. See GeoSolutions B.V. et al v. Sina.Com Online et al (5:21-cv-08019-EJD). On December 20, 2021, our company and certain other non-U.S. defendants filed a motion to dismiss the complaint for lack of personal jurisdiction in the federal court. On March 4, 2022, plaintiffs filed their opposition to the motion to dismiss. On April 22, 2022, our company and certain other non-U.S. defendants filed the reply. On March 16, 2023, the court granted the motion to dismiss, with leave to amend. On May 1, 2023, plaintiffs filed the first amended complaint. On May 16, 2023, plaintiffs filed a second amended complaint against all defendants to add back the defendants missing from their first amended complaint. On June 15, 2023, our company and certain other non-U.S. defendants filed a motion to dismiss the second amended complaint. On October 26, 2023, the court granted the motion to dismiss in favor of our company and the certain other non-U.S. defendants without prejudice for lack of personal jurisdiction and the dismissal is without further leave to amend. The plaintiffs did not appeal, ending the case. Lawsuits such as the above could divert a significant amount of our management’s attention and other resources from our business and operations, which could harm our results of operations and require us to incur significant expenses to defend the lawsuits.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our directors and employees may face additional exposure to claims and lawsuits as a result of their position in other public companies. For example, on April 9, 2020, Mr. Charles Chao, our chairman of the board of directors, was named as a defendant in a putative securities class action lawsuits filed in the U.S. against another U.S. public company in connection with a management buyout, which concern Mr. Chao in his capacity as a director of this public company and as an officer of a buyer group member. See Maso Capital Investments Limited et al v. E-House (China) Holdings Limited et al, No. 1:20-cv-02943-ER (S.D.N.Y.). The court dismissed plaintiffs’ amended complaint on September 29, 2021, and judgment was entered in favor of defendants on February 8, 2022. The judgment was subsequently affirmed by the United States Court of Appeals for Second Circuit on June 10, 2024, and the mandate was issued on August 2, 2024, ending the case. See Maso Capital Investments Limited et al v. E-House (China) Holdings Limited et al, No. 22-355 (2d Cir.). The existence of the litigation, claims, investigations and proceedings against our directors and employees, even if they do not involve our company, may harm our reputation and adversely affect the trading price of our Class A ordinary shares and/or ADSs.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Hong Kong and the U.S. may negatively affect the trading prices of our Class A ordinary shares and/or ADSs.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Hong Kong and Nasdaq listing and regulatory requirements concurrently.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generally or to the same extent, or vice versa. Because of the different characteristics of the U.S. and Hong Kong capital markets, the historical trading prices of our ADSs may not be indicative of the trading performance of our Class A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Class A ordinary shares and our ADSs may adversely affect the liquidity and/or trading price of each other.</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ADSs are currently traded on The Nasdaq Global Select Market. Subject to compliance with U.S. securities law and the terms of the deposit agreement, holders of our Class A ordinary shares may deposit Class A ordinary shares with the depositary in exchange for the issuance of our ADSs. Any holder of ADSs may also withdraw the underlying Class A ordinary shares represented by the ADSs pursuant to the terms of the deposit agreement for trading on the Hong Kong Stock Exchange. In the event that a substantial number of Class A ordinary shares are deposited with the depositary in exchange for ADSs or vice versa, the liquidity and trading price of our Class A ordinary shares on the Hong Kong Stock Exchange and our ADSs on Nasdaq may be adversely affected.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our Class A ordinary shares and ADSs might be longer than expected and investors might not be able to settle or effect any sale of their securities during this period, and the exchange of Class A ordinary shares into ADSs involves costs.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direct trading or settlement between Nasdaq and the Hong Kong Stock Exchange on which our ADSs and our Class A ordinary shares are respectively traded. In addition, the time differences between Hong Kong and New York, unforeseen market circumstances or other factors may delay the deposit of Class A ordinary shares in exchange for ADSs or the withdrawal of Class A ordinary shares underlying the ADSs. Investors will be prevented from settling or effecting the sale of their securities during such periods of delay. In addition, there is no assurance that any exchange for Class A ordinary shares into ADSs (and vice versa) will be completed in accordance with the timelines that investors may anticipate.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SINA, our parent, launched Weibo in August 2009, originally as a microblogging service provider. In 2010, SINA incorporated a subsidiary, T.CN Corporation, in the Cayman Islands to hold the assets associated with the Weibo business. In 2011, Weibo was upgraded with social networking features and improved open platform architecture to support internally developed and third-party developer applications on our platform. In 2012, T.CN Corporation was renamed Weibo Corporation. In April 2013, Alibaba Group invested US$585.8 million through its wholly owned subsidiary, Ali WB, in our ordinary and preferred shares representing approximately 18% of Weibo Corporation’s then total outstanding shares on a fully diluted basis.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2014, our company completed the initial public offering and has been listed on The Nasdaq Global Select Market since then. Our company was incorporated under the laws of the Cayman Islands and is headquartered in Beijing, China. With offices throughout mainland China and Hong Kong, our principal executive offices are located at QIHAO Plaza 8/F, No. 8 Xinyuan S. Road, Chaoyang District, Beijing 100027, People’s Republic of China, and our principal place of operations is located at No. 8 Sina Plaza, Courtyard 10, the West, Xibeiwang E. Road, Haidian District, Beijing 100080, People’s Republic of China. Our telephone number is +86 10 5898-3336.</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Weibo Corporation holds 100% of the equity of Weibo Hong Kong Limited, or Weibo HK, a company incorporated in Hong Kong, and 100% of the equity of WB Online Investment Limited, a company incorporated in the Cayman Islands. Weibo HK is our intermediary holding company in Hong Kong. WB Online Investment Limited mainly engages in investing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Weibo HK holds 100% of the equity of Weibo Technology. Weibo Technology is our wholly owned subsidiary in China. Weibo Technology’s principal business activities are the provision of technical and consulting services.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are a holding company, and we conduct our business primarily through our PRC subsidiaries, the VIEs and their subsidiaries in China. See “Item 4. Information on the Company—C. Organizational Structure” and “Item 3. Key Information—D. Risk Factors— Risks Relating to Our Corporate Structure.” We rely principally on dividends and other distributions from Weibo Technology for our cash needs, including the funds necessary to pay dividends to our shareholders or service any debt we may incur. The VIEs hold certain assets including an Internet Content Provision License held by Weimeng, and other permits that are necessary for operating our business in China. In 2010, Weibo Technology gained a controlling financial interest in Weimeng and became its primary beneficiary (for accounting purpose only) through a series of contractual arrangements between Weibo Technology, Weimeng and Weimeng’s shareholders. Weimeng Chuangke primarily engages in strategic investments in companies whose businesses are complementary to ours, which generally include high-tech companies operating in different internet-related businesses. In 2014, Weibo Technology gained a controlling financial interest in Beijing Weimeng Chuangke Investment Management Co., Ltd., or Weimeng Chuangke, and became its primary beneficiary (for accounting purpose only) through a series of contractual arrangements between Weibo Technology, Weimeng Chuangke and Weimeng Chuangke’s shareholders. We refer to Weimeng and Weimeng Chuangke, collectively, as the VIEs in this annual report.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2013, Weimeng acquired from SINA the entire equity interest in Beijing Weibo Interactive Internet Technology Co., Ltd., a PRC company engaged in the online game business, for a consideration of US$10.1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2015, we acquired from SINA the majority equity interest in Weibo Funds, which engage in the investment of start-up high-tech companies, for a consideration of US$22.0 million.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8, 2021, our Class A ordinary shares commenced trading on the Main Board of the Hong Kong Stock Exchange under the stock code “9898” through a global offering of Class A ordinary shares. We and SINA offered in aggregate of 12,453,620 Class A ordinary shares in the global offering (including the exercise of over-allotment option). We sold 5,500,000 Class A ordinary shares and raised US$178.4 million in net proceeds from the global offering, after deducting estimated underwriting fees and other offering expenses. SINA sold 6,953,620 Class A ordinary shares converted from the same number of Class B ordinary shares, including 1,453,620 Class A ordinary shares pursuant to exercise of the over-allotment option by the joint representatives of the international underwriters to purchase additional Class A ordinary shares. We received no proceeds from the sale of ordinary shares by SINA.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Weibo Hong Kong Limited, our wholly owned subsidiary, entered into an agreement to acquire from SINA Hong Kong Limited, a wholly owned subsidiary of SINA Corporation, the entire equity interest in Sina.com Technology (China) Co., Ltd., the owner of SINA Plaza in Beijing, China, for an aggregate consideration of approximately RMB1.5 billion.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 maintains an internet site that contains reports, proxy and information statements, and other information regarding issuers that file electronically with the SEC on www.sec.gov. You can also find information on our corporate website http://ir.weibo.com. The information contained on our website is not a part of this annual report.</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Weibo is a leading social media platform in China for people to create, discover and distribute content. By providing a simple and inspirational way for people and organizations in China and the global Chinese communities to publicly express themselves in real time, interact with others on a platform with vast scale and stay connected with the world, Weibo has had a profound social impact in China. Launched in 2009, Weibo has been committed to enabling faster, easier, and richer connection among people and has become an integral part of many of Weibo users’ daily lives.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Leveraging its early-mover advantage and its accumulated know-how and insights in the social media industry, Weibo has amassed a large user base in China and in Chinese communities in more than 190 countries around the world. We had 567 million MAUs and 252 million average DAUs in December 2025. The overwhelming majority of our users access our platform through mobile devices at least part of the time.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Weibo has transformed the way people express themselves and interact with others in the public internet space. Any user can create and post a feed and attach multimedia or long-form content. User relationships on Weibo may be asymmetric, and any user can follow any other user and add comments to a feed while reposting. This simple, asymmetric, and distributed nature of Weibo allows an original feed to become a live viral conversation stream.</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Weibo serves a wide range of users including ordinary people, celebrities, key opinion leaders, and other public figures or influencers, as well as media outlets, businesses, government agencies, charities, and other organizations, making it a microcosm of Chinese society. As a leading social media platform, Weibo allows people in China and the global Chinese communities to be heard publicly and exposed to the rich ideas, cultures, and experiences in a broader world.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Weibo offers comprehensive content formats as a social media platform. Weibo users can create, discover, consume and share various formats of content, including text, photo, video, live streaming, and audio on the Weibo platform. By aggregating various media formats, the Weibo platform allows content creators to have more diverse choices to create content in their most desirable ways, so that more enriched content could be generated and distributed across the platform. Weibo is also well positioned to capture the market trends in media format transformation. To capitalize on the trend of video, Weibo has launched a series of innovative initiatives to improve its video product offerings and to empower, attract and retain more video content creators to its platform.</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support these diverse content offerings, Weibo also has comprehensive coverage of content categories and content creators. The diversified content offerings on the Weibo platform cater to the evolving and broad interests of Weibo users and cultivate a more vibrant ecosystem on the Weibo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categories include those for users, advertising and marketing customers and platform partners.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for Users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 development approach is centered on building simple and useful tools to enable our users to access Weibo to discover, create, and distribute content and interact with others on our platform in real time. Users can watch videos, read articles, discover hot information feeds and interest-based topics after installing the Weibo app or when visiting Weibo websites. Users registered with a Weibo account can set up their account information, post feeds, upload short videos and post articles. Users can also interact among themselves on our platform by following, liking, reposting, adding comments, sending private messages, and participating in topic discussions and group chats.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Starting from a social media platform primarily focusing on text and photo, Weibo has rolled out different formats, such as video and live streaming, to meet users’ evolving demands. With its continuous efforts in capitalizing on new content formats, Weibo now offers a wide array of content format, content categories and content creators among social platforms in China. In addition to diversifying content formats, Weibo also plans to attract more users by further enriching its vertical content ecosystem, which is expected to fulfill the diverse interests and consumption needs of Weibo’s user community.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Weibo serves a wide range of users including ordinary people, celebrities, key opinion leaders, and other public figures or influencers, as well as media outlets, businesses, government agencies, charities, and other organizations. Weibo has collaborated with industry leading multi-channel networks to provide high-quality content that spans across various content verticals.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Discovery. </w:t>
      </w:r>
      <w:r>
        <w:rPr>
          <w:rFonts w:ascii="Times New Roman" w:cs="Times New Roman" w:eastAsia="Times New Roman" w:hAnsi="Times New Roman"/>
          <w:sz w:val="18"/>
          <w:szCs w:val="18"/>
          <w:color w:val="auto"/>
        </w:rPr>
        <w:t>We offer the following products to help users discover content on our platform:</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Feed. </w:t>
      </w:r>
      <w:r>
        <w:rPr>
          <w:rFonts w:ascii="Times New Roman" w:cs="Times New Roman" w:eastAsia="Times New Roman" w:hAnsi="Times New Roman"/>
          <w:sz w:val="18"/>
          <w:szCs w:val="18"/>
          <w:color w:val="auto"/>
        </w:rPr>
        <w:t>We organize and present users with information feed in different forms. Among all our offerings,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most important and most frequently browsed feeds are relationship-based information feed (follow model) and interest-based information feed, both of which reside on users’ home page.</w:t>
      </w:r>
    </w:p>
    <w:p>
      <w:pPr>
        <w:spacing w:after="0" w:line="175"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Each user’s relationship-based information feed displays a flow of feeds posted by that user and other users who he or she has opted to follow. Since Weibo allows users to follow other users without establishing a reciprocal relationship, users are able to personalize who they follow based on their interests. In other words, users can as easily follow celebrities and strangers as they follow friends and acquaintances. To improve user experience, the relationship-based information feed has evolved from a chronological timeline to one with multiple dimensions, including content relevance, content quality, user interest, user engagement, and user relationships. Users can also customize their information feed by classifying followed accounts into different groups, e.g., friends, co-workers, celebrities, finance, sports and view feeds from each group separately.</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Interest-based information feeds are timelines of feeds recommended by Weibo based on different interest-based themes. The hot information feed is an example of an interested-based information feed that we present on users’ homepages to recommend feeds on recent popular topics, breaking news and feeds generated through user’s individual interest. We also organize other interest-based information feeds on various themes for users to further explore the topics in which they are interested. For example, the video information feed, which is a timeline of recommended videos that appears after a user finishes watching a short video; and the profile information feed, which can be found on a user’s individual page and shows all of the feeds shared by that user.</w:t>
      </w:r>
    </w:p>
    <w:p>
      <w:pPr>
        <w:spacing w:after="0" w:line="185" w:lineRule="exact"/>
        <w:rPr>
          <w:sz w:val="20"/>
          <w:szCs w:val="20"/>
          <w:color w:val="auto"/>
        </w:rPr>
      </w:pPr>
    </w:p>
    <w:p>
      <w:pPr>
        <w:jc w:val="both"/>
        <w:ind w:left="1000" w:hanging="317"/>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Search. </w:t>
      </w:r>
      <w:r>
        <w:rPr>
          <w:rFonts w:ascii="Times New Roman" w:cs="Times New Roman" w:eastAsia="Times New Roman" w:hAnsi="Times New Roman"/>
          <w:sz w:val="18"/>
          <w:szCs w:val="18"/>
          <w:color w:val="auto"/>
        </w:rPr>
        <w:t>Our search function allows users to search our large content pool for users, feeds, videos, articles, and pictures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keywords (hashtag), topics or recent popular trending. We also launched intelligent search function to provide AI-based search results to users. Through our powerful search function, users can efficiently acquire the most relevant information they seek in real time.</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Discovery Zone. </w:t>
      </w:r>
      <w:r>
        <w:rPr>
          <w:rFonts w:ascii="Times New Roman" w:cs="Times New Roman" w:eastAsia="Times New Roman" w:hAnsi="Times New Roman"/>
          <w:sz w:val="18"/>
          <w:szCs w:val="18"/>
          <w:color w:val="auto"/>
        </w:rPr>
        <w:t>The discovery zone is the interface aggregating Search, Channels, Trends and information feeds for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conveniently access a variety of content and services based on the user’s current location and topical interests such as games, movie reviews, ticket purchasing, online music streaming, online shopping and live streaming. Users can find content related to their interests and interact with others of the same interests in the discovery zone.</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Channels. </w:t>
      </w:r>
      <w:r>
        <w:rPr>
          <w:rFonts w:ascii="Times New Roman" w:cs="Times New Roman" w:eastAsia="Times New Roman" w:hAnsi="Times New Roman"/>
          <w:sz w:val="18"/>
          <w:szCs w:val="18"/>
          <w:color w:val="auto"/>
        </w:rPr>
        <w:t>Channels gather users based on particular interests or locations and encourage user engagement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 within each channel. Users can visit these Channels to find rich content on topics of interest and interact with other users of similar interest. For example, users can watch live streaming content and movie trailers from the respective Channels and write reviews in the discussion zone. With Weibo’s location-based services, users can locate popular points of interest, find information about them such as show times for movie theaters and menus for restaurants, access coupons, post comments, and see reviews shared by other users.</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Trends. </w:t>
      </w:r>
      <w:r>
        <w:rPr>
          <w:rFonts w:ascii="Times New Roman" w:cs="Times New Roman" w:eastAsia="Times New Roman" w:hAnsi="Times New Roman"/>
          <w:sz w:val="18"/>
          <w:szCs w:val="18"/>
          <w:color w:val="auto"/>
        </w:rPr>
        <w:t>Trends are lists of hot topics on Weibo. A user can start a topic discussion by adding hashtags (#) around a word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phrase in a feed. The key word or phrase then becomes searchable with a single click. Top trends are listed in the discovery zone. Users may view feeds under each trending topic and participate in the discussion. Weibo hot search is our hot topic ranking chart which is calculated based on data mining of real-time search data on the Weibo platform, presenting to users the most breaking, real-time and trendy content. It is currently the go-to platform for hot trend discovery, consumption and discussion.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Self-Expression. </w:t>
      </w:r>
      <w:r>
        <w:rPr>
          <w:rFonts w:ascii="Times New Roman" w:cs="Times New Roman" w:eastAsia="Times New Roman" w:hAnsi="Times New Roman"/>
          <w:sz w:val="18"/>
          <w:szCs w:val="18"/>
          <w:color w:val="auto"/>
        </w:rPr>
        <w:t>We offer the following products to enable our users to express themselves on our platform:</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 </w:t>
      </w:r>
      <w:r>
        <w:rPr>
          <w:rFonts w:ascii="Times New Roman" w:cs="Times New Roman" w:eastAsia="Times New Roman" w:hAnsi="Times New Roman"/>
          <w:sz w:val="18"/>
          <w:szCs w:val="18"/>
          <w:color w:val="auto"/>
        </w:rPr>
        <w:t>Weibo enables users to express and share their ideas, opinions and stories in the form of text and multimedia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post is usually composed of text, and can include rich, descriptive and vivid content such as photos, short videos, live streaming and long-form articles.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left="1000" w:hanging="317"/>
        <w:spacing w:after="0" w:line="250"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Individual Page. </w:t>
      </w:r>
      <w:r>
        <w:rPr>
          <w:rFonts w:ascii="Times New Roman" w:cs="Times New Roman" w:eastAsia="Times New Roman" w:hAnsi="Times New Roman"/>
          <w:sz w:val="18"/>
          <w:szCs w:val="18"/>
          <w:color w:val="auto"/>
        </w:rPr>
        <w:t>Each individual user has an Individual Page to express and share ideas, opinions and stories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text and multimedia content. Basic information about a user, including username, introduction, education, location, liked feeds, accounts followed, follower accounts and Weibo account number, is also available on the user’s Page. Individual users with verified authentic identity information will have an orange “V” mark on their profile picture. Weibo membership, which can be purchased mainly through monthly, quarterly, or annual subscriptions, offers certain additional services and functions not available to free users, such as following more users, more personalization of their Pages, additional options to manage information feeds and followers and access to premium games. Business and other organizations with verified identities can apply for enterprise accounts, create an Enterprise Page and will have a blue “V” mark on their profile picture. We enable organizations to customize their Pages and to increase brand awareness, interact with followers, and perform marketing events, promotion activities, and advertisement campaigns on Weibo. We also enable businesses and other organizations to increase their business efficiency by providing various tools. For example, an e-commerce merchant can facilitate purchase activities through Weibo or offer “red envelop,” and drawings to build a follower base.</w:t>
      </w:r>
    </w:p>
    <w:p>
      <w:pPr>
        <w:spacing w:after="0" w:line="194" w:lineRule="exact"/>
        <w:rPr>
          <w:rFonts w:ascii="Times New Roman" w:cs="Times New Roman" w:eastAsia="Times New Roman" w:hAnsi="Times New Roman"/>
          <w:sz w:val="18"/>
          <w:szCs w:val="18"/>
          <w:color w:val="auto"/>
        </w:rPr>
      </w:pPr>
    </w:p>
    <w:p>
      <w:pPr>
        <w:jc w:val="both"/>
        <w:ind w:left="1000" w:hanging="317"/>
        <w:spacing w:after="0" w:line="259"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Videos. </w:t>
      </w:r>
      <w:r>
        <w:rPr>
          <w:rFonts w:ascii="Times New Roman" w:cs="Times New Roman" w:eastAsia="Times New Roman" w:hAnsi="Times New Roman"/>
          <w:sz w:val="18"/>
          <w:szCs w:val="18"/>
          <w:color w:val="auto"/>
        </w:rPr>
        <w:t>Users can create, share and discover full-screen vertical and horizontal short videos. Videos allow users to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create and consume content, and have gained popularity quickly among Weibo users, especially younger generation. In addition, user can use tools such as stickers, filters and music to express their personality.</w:t>
      </w:r>
    </w:p>
    <w:p>
      <w:pPr>
        <w:spacing w:after="0" w:line="193" w:lineRule="exact"/>
        <w:rPr>
          <w:rFonts w:ascii="Times New Roman" w:cs="Times New Roman" w:eastAsia="Times New Roman" w:hAnsi="Times New Roman"/>
          <w:sz w:val="18"/>
          <w:szCs w:val="18"/>
          <w:color w:val="auto"/>
        </w:rPr>
      </w:pPr>
    </w:p>
    <w:p>
      <w:pPr>
        <w:jc w:val="both"/>
        <w:ind w:left="1000" w:right="20" w:hanging="317"/>
        <w:spacing w:after="0" w:line="259"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Top Articles. </w:t>
      </w:r>
      <w:r>
        <w:rPr>
          <w:rFonts w:ascii="Times New Roman" w:cs="Times New Roman" w:eastAsia="Times New Roman" w:hAnsi="Times New Roman"/>
          <w:sz w:val="18"/>
          <w:szCs w:val="18"/>
          <w:color w:val="auto"/>
        </w:rPr>
        <w:t>Top Articles satisfies users’ need for content creation and presentation. Users can create beautifully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through Top Articles, and then publish their content through Weibo, which will display the content through information feed.</w:t>
      </w:r>
    </w:p>
    <w:p>
      <w:pPr>
        <w:spacing w:after="0" w:line="193"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Weibo Live Streaming. </w:t>
      </w:r>
      <w:r>
        <w:rPr>
          <w:rFonts w:ascii="Times New Roman" w:cs="Times New Roman" w:eastAsia="Times New Roman" w:hAnsi="Times New Roman"/>
          <w:sz w:val="18"/>
          <w:szCs w:val="18"/>
          <w:color w:val="auto"/>
        </w:rPr>
        <w:t>Weibo Live Streaming is an important media format on Weibo which satisfies the broadcasting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of both individual users and business or organization users.</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59"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Review. </w:t>
      </w:r>
      <w:r>
        <w:rPr>
          <w:rFonts w:ascii="Times New Roman" w:cs="Times New Roman" w:eastAsia="Times New Roman" w:hAnsi="Times New Roman"/>
          <w:sz w:val="18"/>
          <w:szCs w:val="18"/>
          <w:color w:val="auto"/>
        </w:rPr>
        <w:t>By accessing the review function, users can leave a star rating and a review on various contents, including popular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TV shows, movies, variety shows, music and dance performances, businesses such as restaurants and hotels, as well as tourist attractions.</w:t>
      </w:r>
    </w:p>
    <w:p>
      <w:pPr>
        <w:spacing w:after="0" w:line="193"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Weibo Q&amp;A. </w:t>
      </w:r>
      <w:r>
        <w:rPr>
          <w:rFonts w:ascii="Times New Roman" w:cs="Times New Roman" w:eastAsia="Times New Roman" w:hAnsi="Times New Roman"/>
          <w:sz w:val="18"/>
          <w:szCs w:val="18"/>
          <w:color w:val="auto"/>
        </w:rPr>
        <w:t>Weibo Q&amp;A is our question-and-answer platform where users can engage in free Q&amp;A as well as paid Q&amp;A.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creation and interaction of user-generated content strengthens user engagement on Weibo.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Social. </w:t>
      </w:r>
      <w:r>
        <w:rPr>
          <w:rFonts w:ascii="Times New Roman" w:cs="Times New Roman" w:eastAsia="Times New Roman" w:hAnsi="Times New Roman"/>
          <w:sz w:val="18"/>
          <w:szCs w:val="18"/>
          <w:color w:val="auto"/>
        </w:rPr>
        <w:t>We offer the following mechanisms to promote social interaction between users on our platform:</w:t>
      </w:r>
    </w:p>
    <w:p>
      <w:pPr>
        <w:spacing w:after="0" w:line="225" w:lineRule="exact"/>
        <w:rPr>
          <w:sz w:val="20"/>
          <w:szCs w:val="20"/>
          <w:color w:val="auto"/>
        </w:rPr>
      </w:pPr>
    </w:p>
    <w:p>
      <w:pPr>
        <w:jc w:val="both"/>
        <w:ind w:left="1000" w:hanging="317"/>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Follow. </w:t>
      </w:r>
      <w:r>
        <w:rPr>
          <w:rFonts w:ascii="Times New Roman" w:cs="Times New Roman" w:eastAsia="Times New Roman" w:hAnsi="Times New Roman"/>
          <w:sz w:val="18"/>
          <w:szCs w:val="18"/>
          <w:color w:val="auto"/>
        </w:rPr>
        <w:t>Users can establish relationships with other users by electing to follow them. Feeds that are posted or reposted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will automatically appear in the information feed of the user’s followers. Relationships may be asymmetrical. The user being followed does not need to approve the follower’s decision to follow them, although a user can choose to limit access to certain feeds or to blacklist a certain follower.</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Repost, Comment, Favorite, Like. </w:t>
      </w:r>
      <w:r>
        <w:rPr>
          <w:rFonts w:ascii="Times New Roman" w:cs="Times New Roman" w:eastAsia="Times New Roman" w:hAnsi="Times New Roman"/>
          <w:sz w:val="18"/>
          <w:szCs w:val="18"/>
          <w:color w:val="auto"/>
        </w:rPr>
        <w:t>By clicking on the Repost button, users can repost feeds from other users. When a feed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reposted, the original author is able to virally reach and influence users beyond that author’s own circle of followers, leveraging the network of the followers of the author’s followers, sometimes many degrees away. Users can add their own comments when they repost and share their view on the original feed with their followers. Users can also leave comments on a feed by clicking on the Comment button. If they like a feed, they can click on the Like button to express their support for the feed. At the bottom of each feed, users can see how many people have Reposted, Commented on or Liked the feed. Users can also save feeds into their favorites by clicking on the Favorite button.</w:t>
      </w:r>
    </w:p>
    <w:p>
      <w:pPr>
        <w:spacing w:after="0" w:line="187" w:lineRule="exact"/>
        <w:rPr>
          <w:rFonts w:ascii="Times New Roman" w:cs="Times New Roman" w:eastAsia="Times New Roman" w:hAnsi="Times New Roman"/>
          <w:sz w:val="18"/>
          <w:szCs w:val="18"/>
          <w:color w:val="auto"/>
        </w:rPr>
      </w:pPr>
    </w:p>
    <w:p>
      <w:pPr>
        <w:ind w:left="1000" w:hanging="317"/>
        <w:spacing w:after="0" w:line="26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Topic Discussion. </w:t>
      </w:r>
      <w:r>
        <w:rPr>
          <w:rFonts w:ascii="Times New Roman" w:cs="Times New Roman" w:eastAsia="Times New Roman" w:hAnsi="Times New Roman"/>
          <w:sz w:val="18"/>
          <w:szCs w:val="18"/>
          <w:color w:val="auto"/>
        </w:rPr>
        <w:t>By accessing the topic feeds embedded in the Discovery Zone, users can consume hot topics and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Weibo, participate in specific topic discussions and interact with other platform users with similar topical interests.</w:t>
      </w:r>
    </w:p>
    <w:p>
      <w:pPr>
        <w:spacing w:after="0" w:line="185" w:lineRule="exact"/>
        <w:rPr>
          <w:rFonts w:ascii="Times New Roman" w:cs="Times New Roman" w:eastAsia="Times New Roman" w:hAnsi="Times New Roman"/>
          <w:sz w:val="18"/>
          <w:szCs w:val="18"/>
          <w:color w:val="auto"/>
        </w:rPr>
      </w:pPr>
    </w:p>
    <w:p>
      <w:pPr>
        <w:jc w:val="both"/>
        <w:ind w:left="1000" w:hanging="317"/>
        <w:spacing w:after="0" w:line="259"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 Topic. </w:t>
      </w:r>
      <w:r>
        <w:rPr>
          <w:rFonts w:ascii="Times New Roman" w:cs="Times New Roman" w:eastAsia="Times New Roman" w:hAnsi="Times New Roman"/>
          <w:sz w:val="18"/>
          <w:szCs w:val="18"/>
          <w:color w:val="auto"/>
        </w:rPr>
        <w:t>Super Topic is a community product to aggregate content around an influencer or a particular interest for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follow. Users can join a Super Topic to access curated content, interact with users who share similar interests and participate in topic discussion.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left="1000" w:hanging="317"/>
        <w:spacing w:after="0" w:line="259"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@Mention. </w:t>
      </w:r>
      <w:r>
        <w:rPr>
          <w:rFonts w:ascii="Times New Roman" w:cs="Times New Roman" w:eastAsia="Times New Roman" w:hAnsi="Times New Roman"/>
          <w:sz w:val="18"/>
          <w:szCs w:val="18"/>
          <w:color w:val="auto"/>
        </w:rPr>
        <w:t>Users can involve others into a particular feed and engage with them through @Mention these other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feeds. Meanwhile, users can easily participate in topics under which they are mentioned by going to the @Mention Page, which allows users to access all the feeds in which they are mentioned by other users.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for Advertising and Marketing Customers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seek to provide advertising and marketing solutions to enable our customers to promote their brands and conduct effective marketing activities. We provide our customers with analytical tools to enable them to track and improve the effectiveness of their marketing campaigns on our platform. Our advertising and marketing customers seek a full spectrum of online advertising and marketing services ranging from brand awareness to interest generation, sales conversion and loyalty marketing.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prices of our advertising and marketing solutions depend upon various factors, including the format, display location, and duration of the advertisements. We generally enter into agreements with standard terms and conditions with advertisers and advertising agencies. From time to time, we may provide sales rebates to advertising agencies.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consider the ultimate beneficiary of our online advertising services as an “advertiser,” meaning the party whose products, brand awareness or marketing activities benefited from the execution of advertisement. We consider a party that we enter into an advertisement service contract with as our “customer” from accounting perspective. As such, we treat an advertising agency who enters into an advertisement service contract with us as our customer, and such advertising agency may represent and serve multiple advertisers. If an advertiser directly enters into an advertisement service contract with us, we will treat such advertiser also as our customer.</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Social Display Advertisements. </w:t>
      </w:r>
      <w:r>
        <w:rPr>
          <w:rFonts w:ascii="Times New Roman" w:cs="Times New Roman" w:eastAsia="Times New Roman" w:hAnsi="Times New Roman"/>
          <w:sz w:val="18"/>
          <w:szCs w:val="18"/>
          <w:color w:val="auto"/>
        </w:rPr>
        <w:t>Social display advertisements appear on the app’s opening page, the Discovery Zone banner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website home page banner. When users click on a display advertisement, they may be redirected to the advertiser’s Weibo Page or a product page on other platforms for further engagement or conversion.</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Promoted Marketing. </w:t>
      </w:r>
      <w:r>
        <w:rPr>
          <w:rFonts w:ascii="Times New Roman" w:cs="Times New Roman" w:eastAsia="Times New Roman" w:hAnsi="Times New Roman"/>
          <w:sz w:val="18"/>
          <w:szCs w:val="18"/>
          <w:color w:val="auto"/>
        </w:rPr>
        <w:t>Leveraging our large and engaged user base, and celebrities and key opinion leaders’ influence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Weibo platform, our customers are enabled to amplify their visibility and the reach of their original marketing campaign, and thus achieve earned media on our platform. Our promoted marketing offerings include the following:</w:t>
      </w:r>
    </w:p>
    <w:p>
      <w:pPr>
        <w:spacing w:after="0" w:line="173" w:lineRule="exact"/>
        <w:rPr>
          <w:sz w:val="20"/>
          <w:szCs w:val="20"/>
          <w:color w:val="auto"/>
        </w:rPr>
      </w:pPr>
    </w:p>
    <w:p>
      <w:pPr>
        <w:jc w:val="both"/>
        <w:ind w:left="1000" w:hanging="317"/>
        <w:spacing w:after="0" w:line="25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Promoted Feeds. </w:t>
      </w:r>
      <w:r>
        <w:rPr>
          <w:rFonts w:ascii="Times New Roman" w:cs="Times New Roman" w:eastAsia="Times New Roman" w:hAnsi="Times New Roman"/>
          <w:sz w:val="18"/>
          <w:szCs w:val="18"/>
          <w:color w:val="auto"/>
        </w:rPr>
        <w:t>Promoted feeds appear in the user’s information feed alongside organic feeds. We encourage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produce feeds that have relevant information value similar to that of the users’ organic feeds. Customers may use our SIG recommendation engine to better target their audience and improve the relevance of the advertisement to the users. Super FST is an advertising platform specifically for our promoted feeds advertising products under a real time bidding system. By leveraging Weibo’s data insights, Super FST can help customers precisely target users based on user attributes and social relations, enabling customers to achieve marketing objectives such as improving customers’ branding, increasing website visits and advertisement conversion rate, growing fan bases, increasing app installation rates and collecting sales leads. Customer can place information feeds advertisements either through our authorized distributor, or directly by themselves on Super FST. Super FST provides various advertising formats, such as multi-image post, image-text, video and matrix advertisements. Some of our differentiated promoted feeds advertising offerings include:</w:t>
      </w:r>
    </w:p>
    <w:p>
      <w:pPr>
        <w:spacing w:after="0" w:line="19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Fans Headline is a promoted service that guarantees a certain feed from the customer will appear at the top of the information feeds of the customer’s followers or the audience that the customer would like to target, enabling customers to leverage celebrities and key opinion leaders’ rising influence on our platform.</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Weibo Express is a promoted service mainly offered to customers with brand awareness purpose to reach and engage with a broad range of Weibo users; and</w:t>
      </w:r>
    </w:p>
    <w:p>
      <w:pPr>
        <w:spacing w:after="0" w:line="159"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Promoted Trends and Search. </w:t>
      </w:r>
      <w:r>
        <w:rPr>
          <w:rFonts w:ascii="Times New Roman" w:cs="Times New Roman" w:eastAsia="Times New Roman" w:hAnsi="Times New Roman"/>
          <w:sz w:val="18"/>
          <w:szCs w:val="18"/>
          <w:color w:val="auto"/>
        </w:rPr>
        <w:t>Promoted trends and search products appear alongside user’s organic trends discovery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behaviors, based on keywords, topics and trends. Promoted trends, which are labeled as “promoted,” appear among the list of trending topics, and can be virally distributed to reach broader audience on the platform. When a user clicks on a promoted trend, he or she will be redirected to the sponsor’s landing page. Promoted searches usually appear as the default keyword or topic in the search bar when triggered by users’ search behaviors of certain sponsored keyword or topic.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for Platform Partners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seek to provide our platform partners with abundant tools and services, which improves Weibo’s content ecosystem with more diverse and high quality content, increases user engagement, enhances user experience, expands user scale and strengthens platform influence. Our platform partners include traditional and online media outlets, copyright content providers, key opinion leaders, multi-channel networks and other self-media, as well as app developers and data suppliers. We offer different products tailored to different types of platform partners, including:</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Products for copyright content providers. </w:t>
      </w:r>
      <w:r>
        <w:rPr>
          <w:rFonts w:ascii="Times New Roman" w:cs="Times New Roman" w:eastAsia="Times New Roman" w:hAnsi="Times New Roman"/>
          <w:sz w:val="18"/>
          <w:szCs w:val="18"/>
          <w:color w:val="auto"/>
        </w:rPr>
        <w:t>We work with TV channels, online video websites and operators with copyright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through traffic resource exchange and content traffic sharing. Such cooperation enriches Weibo’s content ecosystem with diversified video content and strengthens Weibo’s brands influence, while at the same time enhancing partners’ user scales, and their brands influence.</w:t>
      </w:r>
    </w:p>
    <w:p>
      <w:pPr>
        <w:spacing w:after="0" w:line="143" w:lineRule="exact"/>
        <w:rPr>
          <w:sz w:val="20"/>
          <w:szCs w:val="20"/>
          <w:color w:val="auto"/>
        </w:rPr>
      </w:pPr>
    </w:p>
    <w:p>
      <w:pPr>
        <w:ind w:left="1000" w:hanging="317"/>
        <w:spacing w:after="0" w:line="284"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Standardized products. </w:t>
      </w:r>
      <w:r>
        <w:rPr>
          <w:rFonts w:ascii="Times New Roman" w:cs="Times New Roman" w:eastAsia="Times New Roman" w:hAnsi="Times New Roman"/>
          <w:sz w:val="18"/>
          <w:szCs w:val="18"/>
          <w:color w:val="auto"/>
        </w:rPr>
        <w:t>Our standardized products to platform partners include, among others, Trends, Search, Video/Live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Streaming, and Editing tools.</w:t>
      </w:r>
    </w:p>
    <w:p>
      <w:pPr>
        <w:spacing w:after="0" w:line="131" w:lineRule="exact"/>
        <w:rPr>
          <w:rFonts w:ascii="Times New Roman" w:cs="Times New Roman" w:eastAsia="Times New Roman" w:hAnsi="Times New Roman"/>
          <w:sz w:val="18"/>
          <w:szCs w:val="18"/>
          <w:color w:val="auto"/>
        </w:rPr>
      </w:pPr>
    </w:p>
    <w:p>
      <w:pPr>
        <w:ind w:left="1000" w:right="20" w:hanging="317"/>
        <w:spacing w:after="0" w:line="26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Customized products. </w:t>
      </w:r>
      <w:r>
        <w:rPr>
          <w:rFonts w:ascii="Times New Roman" w:cs="Times New Roman" w:eastAsia="Times New Roman" w:hAnsi="Times New Roman"/>
          <w:sz w:val="18"/>
          <w:szCs w:val="18"/>
          <w:color w:val="auto"/>
        </w:rPr>
        <w:t>We provide customized products such as content customization, pooling of copyright content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interaction development to our platform partners.</w:t>
      </w:r>
    </w:p>
    <w:p>
      <w:pPr>
        <w:spacing w:after="0" w:line="145"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 services. </w:t>
      </w:r>
      <w:r>
        <w:rPr>
          <w:rFonts w:ascii="Times New Roman" w:cs="Times New Roman" w:eastAsia="Times New Roman" w:hAnsi="Times New Roman"/>
          <w:sz w:val="18"/>
          <w:szCs w:val="18"/>
          <w:color w:val="auto"/>
        </w:rPr>
        <w:t>We provide our platform partners with operational resources to expand their brand influence,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list recommendation, trends list recommendation and Weibo app opening advertisements.</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Products for key opinion leaders, multi-channel networks and other self-media. </w:t>
      </w:r>
      <w:r>
        <w:rPr>
          <w:rFonts w:ascii="Times New Roman" w:cs="Times New Roman" w:eastAsia="Times New Roman" w:hAnsi="Times New Roman"/>
          <w:sz w:val="18"/>
          <w:szCs w:val="18"/>
          <w:color w:val="auto"/>
        </w:rPr>
        <w:t>Self-media refers to organization partners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ability to manage and provide services to top content creators on Weibo, such as multi-channel networks, unions and e-commerce partners. These top content creators produce various types of content on Weibo in the form of video, live stream, images and text. We provide self-media with standardized products and services to help them build up and monetize their social assets, which in return enables them to produce more content and attracts more self-medias to our platform. Our products and services to them include:</w:t>
      </w:r>
    </w:p>
    <w:p>
      <w:pPr>
        <w:spacing w:after="0" w:line="143" w:lineRule="exact"/>
        <w:rPr>
          <w:sz w:val="20"/>
          <w:szCs w:val="20"/>
          <w:color w:val="auto"/>
        </w:rPr>
      </w:pPr>
    </w:p>
    <w:p>
      <w:pPr>
        <w:jc w:val="both"/>
        <w:ind w:left="1000" w:hanging="317"/>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Back-end management. </w:t>
      </w:r>
      <w:r>
        <w:rPr>
          <w:rFonts w:ascii="Times New Roman" w:cs="Times New Roman" w:eastAsia="Times New Roman" w:hAnsi="Times New Roman"/>
          <w:sz w:val="18"/>
          <w:szCs w:val="18"/>
          <w:color w:val="auto"/>
        </w:rPr>
        <w:t>We provide standardized and specialized back-end management allowing key opinion leaders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self-media to monitor their traffic performance and manage their accounts in a scalable manner. Our back-end management services include, among others, management of accounts, data, resources and growth.</w:t>
      </w:r>
    </w:p>
    <w:p>
      <w:pPr>
        <w:spacing w:after="0" w:line="132"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Traffic supports. </w:t>
      </w:r>
      <w:r>
        <w:rPr>
          <w:rFonts w:ascii="Times New Roman" w:cs="Times New Roman" w:eastAsia="Times New Roman" w:hAnsi="Times New Roman"/>
          <w:sz w:val="18"/>
          <w:szCs w:val="18"/>
          <w:color w:val="auto"/>
        </w:rPr>
        <w:t>We provide traffic distribution supports such as account recommendation, content recommendation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certain exclusive functions.</w:t>
      </w:r>
    </w:p>
    <w:p>
      <w:pPr>
        <w:spacing w:after="0" w:line="131" w:lineRule="exact"/>
        <w:rPr>
          <w:rFonts w:ascii="Times New Roman" w:cs="Times New Roman" w:eastAsia="Times New Roman" w:hAnsi="Times New Roman"/>
          <w:sz w:val="18"/>
          <w:szCs w:val="18"/>
          <w:color w:val="auto"/>
        </w:rPr>
      </w:pPr>
    </w:p>
    <w:p>
      <w:pPr>
        <w:ind w:left="1000" w:hanging="317"/>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services. </w:t>
      </w:r>
      <w:r>
        <w:rPr>
          <w:rFonts w:ascii="Times New Roman" w:cs="Times New Roman" w:eastAsia="Times New Roman" w:hAnsi="Times New Roman"/>
          <w:sz w:val="18"/>
          <w:szCs w:val="18"/>
          <w:color w:val="auto"/>
        </w:rPr>
        <w:t>We provide self-media with product solutions for better displaying and promotion of its account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through various channels, including information feeds, video feeds and users’ home pages.</w:t>
      </w:r>
    </w:p>
    <w:p>
      <w:pPr>
        <w:spacing w:after="0" w:line="1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Products for other app developers. </w:t>
      </w:r>
      <w:r>
        <w:rPr>
          <w:rFonts w:ascii="Times New Roman" w:cs="Times New Roman" w:eastAsia="Times New Roman" w:hAnsi="Times New Roman"/>
          <w:sz w:val="18"/>
          <w:szCs w:val="18"/>
          <w:color w:val="auto"/>
        </w:rPr>
        <w:t>Under user consent, our open application platform allows users to log into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with their Weibo account, which enables sharing of third-party content on our platform. User privacy is strictly protected during the authorization to third-party applications, which only have access to users’ basic public information. This product helps mobile app developers to acquire users while helps Weibo to acquire shared content from other apps and platforms.</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Weibo Wallet. </w:t>
      </w:r>
      <w:r>
        <w:rPr>
          <w:rFonts w:ascii="Times New Roman" w:cs="Times New Roman" w:eastAsia="Times New Roman" w:hAnsi="Times New Roman"/>
          <w:sz w:val="18"/>
          <w:szCs w:val="18"/>
          <w:color w:val="auto"/>
        </w:rPr>
        <w:t>Our Weibo wallet product enables platform partners to conduct interest generation activities on Weibo,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handing out “red envelopes” and coupons to other users to build a bigger and more active fan base, and drive purchase conversion. Weibo wallet also enables individual users to purchase different types of products and services on Weibo, including those that we offered, such as marketing services and membership, and those offered by our platform partners, such as e-commerce merchandises, financial products and virtual gifts.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We provide online social media services for users in China and the global Chinese communities. The social media industry is highly competitive and rapidly changing due to the quickly evolving market demand and user preferences. As a result, we face significant competition for user traffic, user engagement and advertising and marketing spending from a wide array of existing and potential competitors who may launch new websites, apps, platforms or services at a relatively low cost. Many companies offer various content and services that compete with our offerings. With the growth rate of the overall size of the internet community slowing down, the industry is evolving rapidly while witnessing rising competition for traffic and user time.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a media platform in nature, and major Chinese internet companies, such as Tencent and Bytedance, that provide online media, including content aggregation and distribution services, compete directly with us for user traffic and user engagement, content, talent and marketing resources. In addition, as a social media platform featuring social networking services and providing a rich variety of multimedia contents, we are subject to intense competition from providers of similar services, such as social networking platforms and multimedia content platforms with social features. We are subject to intense competition from providers of similar services as well as potentially new types of online services. These services mainly include (i) messengers and other social apps and sites, such as Weixin/WeChat; (ii) multimedia apps (such as photo, video and live streaming apps), such as Douyin/TikTok, Kuaishou, Bilibili, Xiaohongshu (also known as RedNote), iQiyi, Tencent Video and Youku; and (iii) news apps and sites operated by other major internet companies, including Tencent and Bytedance. In addition, as a media platform in nature, we also compete with traditional media companies for audiences and content.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value-added services, we mainly offer membership services, game-related services, and social commerce solutions to users that enable them to conduct related activities on our platform. Consequently, our value-added service offerings compete with platforms which provide similar services to users. In addition to direct competition, we face indirect competition from companies that sponsor or maintain high traffic volume websites or provide an initial point of entry for internet users, including, but not limited to, providers of search services, web browsers and navigation pages.</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We also face significant competition for advertising and marketing spending. A substantial majority of our revenues is generated from the sale of advertising and marketing services. We compete against businesses that offer such services, including, but not limited to, social media and social networking platforms, multimedia content platforms and online media platforms. We also compete with internet companies that offer online-to-offline, purchase solutions and other performance-based advertising services and digital media tailored to vertical industries, such as automobile and IT. We also compete against traditional media outlets for advertising and marketing spending.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our larger competitors have substantially broader product or service offerings and leverage their relationships based on other products or services to gain a larger share of advertising and marketing budgets. We believe that our ability to compete effectively for advertising and marketing spending depends upon many factors, including the size, composition and engagement of our user base, our advertisement targeting capabilities, market acceptance of our advertising and marketing services, our marketing and selling efforts, the return our customers receive from our advertising and marketing services and the strength and reputation of our brands. See “Item 3. Key Information—D. Risk Factors—Risks Relating to Our Business—If we are unable to compete effectively for advertising and marketing spending, our business and operating results may be materially and adversely affected.”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face increasing competition from global social media, social networking services and messengers. Some of our competitors may have substantially more cash, traffic, technical and other resources than we do. See “Item 3. Key Information—D. Risk Factors—Risks Relating to Our Business—If we are unable to compete effectively for user traffic or user engagement, our business and operating results may be materially and adversely affected.”</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experience significant competition for highly skilled personnel, including management, engineers, designers and product managers. Our growth strategy depends in part on our ability to retain our existing personnel and add additional highly skilled employees. See “Item 3. Key Information—D. Risk Factors—Risks Relating to Our Business—Our business and growth could suffer if we are unable to hire and retain key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Built on our proprietary technology, including machine learning and cloud computing, we have developed a leading social media platform to satisfy users’ customized content consumption need. We devote substantial research and development resources in the areas of artificial intelligence, cloud computing, big-data analytics, as well as live streaming related areas.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Unified Platform. </w:t>
      </w:r>
      <w:r>
        <w:rPr>
          <w:rFonts w:ascii="Times New Roman" w:cs="Times New Roman" w:eastAsia="Times New Roman" w:hAnsi="Times New Roman"/>
          <w:sz w:val="18"/>
          <w:szCs w:val="18"/>
          <w:color w:val="auto"/>
        </w:rPr>
        <w:t>We have developed a unified, open platform that allows our users, customers and platform partners to access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vast amount of content on Weibo from mobile devices, personal computers and other internet-enabled devices in real time. Our platform adopts service-oriented architecture that allows easy up-scaling and frequent upgrading of our products. Our platform is built on technologies that can process and analyze bulk data generated by millions of users instantaneously.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Artificial Intelligence (AI). </w:t>
      </w:r>
      <w:r>
        <w:rPr>
          <w:rFonts w:ascii="Times New Roman" w:cs="Times New Roman" w:eastAsia="Times New Roman" w:hAnsi="Times New Roman"/>
          <w:sz w:val="18"/>
          <w:szCs w:val="18"/>
          <w:color w:val="auto"/>
        </w:rPr>
        <w:t>We have in-house designed a SIG recommendation engine. We have developed a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database of our users’ social interest graphs based on user actions such as Post, Repost, Comment, Like and Follow, and social relationships. Our SIG recommendation engine employs multiple algorithms, making it capable of realizing hyperscale online training, allowing us and our customers to push content to Weibo users that they are more likely to find interesting and relevant. We continually refine our recommendation engine to improve the relevance of information we push to users to increase user stickiness. In addition, we believe that advertisements can gain greater relevance from social context and become part of the user experience rather than an interruption of it.</w:t>
      </w:r>
    </w:p>
    <w:p>
      <w:pPr>
        <w:spacing w:after="0" w:line="189" w:lineRule="exact"/>
        <w:rPr>
          <w:sz w:val="20"/>
          <w:szCs w:val="20"/>
          <w:color w:val="auto"/>
        </w:rPr>
      </w:pPr>
    </w:p>
    <w:p>
      <w:pPr>
        <w:jc w:val="both"/>
        <w:ind w:firstLine="648"/>
        <w:spacing w:after="0" w:line="215" w:lineRule="exact"/>
        <w:rPr>
          <w:sz w:val="20"/>
          <w:szCs w:val="20"/>
          <w:color w:val="auto"/>
        </w:rPr>
      </w:pPr>
      <w:r>
        <w:rPr>
          <w:rFonts w:ascii="Times New Roman" w:cs="Times New Roman" w:eastAsia="Times New Roman" w:hAnsi="Times New Roman"/>
          <w:sz w:val="18"/>
          <w:szCs w:val="18"/>
          <w:color w:val="auto"/>
        </w:rPr>
        <w:t>We have incorporated generative AI features into our services for content creators and our user community. We develop tools that streamline content creation and enrich Weibo’s products and content ecosystem. The generative AI tools enable content creators to generate personalized posts in an efficient manner, which align with their unique voice and resonate with their audience. We also offer AI-powered chatbots designed for key opinion leaders and celebrities to automate conversations with their followers. Notably, Weibo Intelligent Search adopts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model and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architecture. It combines our search infrastructure with large language models through a retrieval-augmented generation (RAG) framework, enhancing content comprehension and summarization capabilities while extending search capabilities. This tool enhances user experiences through comprehensive analysis of trending content across thematic dimensions and entity categories, generating structured insights—such as overviews and diverse perspectives—that span all trending topics, celebrities, IPs, and brands. We have also launched the Weibo Intelligent Search AI Assistant service, upgrading our product from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turn Q&amp;A to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turn dialogue with continuous interaction. This supports users in achieving more coherent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information acquisition and exploration. We believe these AI-driven features will drive higher user engagement, while saving time and resources, and improve the efficiency of operating content creators’ accounts on our platform. We remain committed to advancing these initiatives and offering these tools to more content creators and users.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leverage AI technology in content governance procedures. The technology is utilized to review the content uploaded to our platform, enabling us to effectively detect malicious or illegal content and to promptly remove any infringing content.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Cloud Computing. </w:t>
      </w:r>
      <w:r>
        <w:rPr>
          <w:rFonts w:ascii="Times New Roman" w:cs="Times New Roman" w:eastAsia="Times New Roman" w:hAnsi="Times New Roman"/>
          <w:sz w:val="18"/>
          <w:szCs w:val="18"/>
          <w:color w:val="auto"/>
        </w:rPr>
        <w:t>Our hybrid cloud platform can spot hot topics within seconds, automatically and speedily expand our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servers within minutes, and support millions of user visits occurring every second. Our proprietary model optimizes and facilitates efficient data storage by dividing data into different levels. This distributed storage model allows us to efficiently manage huge amount of data while storing data on ordinary servers that are easily scalable. Our geographically distributed architecture enables fast access for users across the country. Weibo, as the main distribution platform for China’s major hot topics, has been providing users with stable and smooth visiting experiences, even when its peak user access traffic was constantly refreshed by itself from time to time upon hot topics on its platform.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Video Platform. </w:t>
      </w:r>
      <w:r>
        <w:rPr>
          <w:rFonts w:ascii="Times New Roman" w:cs="Times New Roman" w:eastAsia="Times New Roman" w:hAnsi="Times New Roman"/>
          <w:sz w:val="18"/>
          <w:szCs w:val="18"/>
          <w:color w:val="auto"/>
        </w:rPr>
        <w:t>Our video platform supports media content in multiple formats. We have upgraded our video encoder, making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to provide quality visual effects even when end users’ bandwidths are limited. We invented a video orchestration engine, which has significantly increased the efficiency to process videos and the speed for users to upload videos. We utilize machine learning technologies to semantically understand videos uploaded to our platform, whereby we extract texts, basic features from videos to generate content labels, interest-based themes and video fingerprint information. We use this information to accelerate content review of the videos and distribution of the videos on our platform.</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Live Streaming System. </w:t>
      </w:r>
      <w:r>
        <w:rPr>
          <w:rFonts w:ascii="Times New Roman" w:cs="Times New Roman" w:eastAsia="Times New Roman" w:hAnsi="Times New Roman"/>
          <w:sz w:val="18"/>
          <w:szCs w:val="18"/>
          <w:color w:val="auto"/>
        </w:rPr>
        <w:t>We have developed a smart dispatch system that links push streaming with node load balancing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path finding technologies, which adjusts video caches to adapt to different networks and ensures video quality and stability in live streaming. We have upgraded our live streaming engine to support millions of users watching live streaming simultaneously and to improve user experience with lower network latency even in poor internet conditions.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our own sales operations team. We transact business either directly with customers or through third-party advertising agencies.</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expertise required to carry out an effective online marketing campaign, many customers prefer to hire advertising agencies to handle their internet brand campaigns. These advertising agencies provide a broad spectrum of internet marketing and advertising services. Our sales team leverages Weibo’s unique position and advantages in social marketing to assist customers or their advertising agencies throughout their advertising campaign cycle, from designing advertisement campaigns and crafting advertisements in different formats to executing social marketing campaigns and providing analytical tracking.</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SINA acts as one of our agents in servicing our advertising and marketing clients. We have signed an agreement with SINA relating to these sales and marketing services. See “Item 7. Major Shareholders and Related Party Transactions—B. Related Party Transactions—Our Relationship with SINA—Sales and Marketing Services Agreement.” We will continue to offer integrated solutions to customers with both SINA’s and our advertising and marketing solutions. We believe that our advertising and marketing solutions are complementary to SINA’s.</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position as a leading social media platform in China has given us widespread name recognition. We focus on continually improving the quality of our products and services to strengthen our brand, as we believe satisfied users and customers are more likely to recommend our products and services to others. While word of mouth has helped us, we also make selective use of advertising, promotions and special events to promote Weibo awareness and usage.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the vision of making the world a better place with the power of Weibo. Since our inception, we have been dedicated to serving our users, content creators, employees, customers and other stakeholders within our ecosystem. We have integrated environmental, social and governance consideration into our daily operations.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2025, we remain dedicated to fulfilling our social responsibilities through leveraging our community and operating our platform in a responsible manner. We expect to publish our 2025 ESG (environmental, social and governance) report in April 2026, which outlines our initiatives and performance in key ESG areas for the fiscal year of 2025. The information contained in our 2025 ESG report is not incorporated by reference into and should not be considered a part of this annual report.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Data privacy and cybersecurity</w:t>
      </w:r>
      <w:r>
        <w:rPr>
          <w:rFonts w:ascii="Times New Roman" w:cs="Times New Roman" w:eastAsia="Times New Roman" w:hAnsi="Times New Roman"/>
          <w:sz w:val="18"/>
          <w:szCs w:val="18"/>
          <w:color w:val="auto"/>
        </w:rPr>
        <w:t>. Protection of data privacy and cybersecurity are important components of our overall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program. Our information security management is integrated into our risk management program. For a detailed discussion, please see “Item 16K. Cybersecurity.”</w:t>
      </w:r>
    </w:p>
    <w:p>
      <w:pPr>
        <w:spacing w:after="0" w:line="14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innovation. </w:t>
      </w:r>
      <w:r>
        <w:rPr>
          <w:rFonts w:ascii="Times New Roman" w:cs="Times New Roman" w:eastAsia="Times New Roman" w:hAnsi="Times New Roman"/>
          <w:sz w:val="18"/>
          <w:szCs w:val="18"/>
          <w:color w:val="auto"/>
        </w:rPr>
        <w:t>We continuously explore innovative technologies to optimize user experience and provide more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for content creators. We are actively driving the adoption of generative AI features, while upholding AI technology ethics and compliance.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Quality content</w:t>
      </w:r>
      <w:r>
        <w:rPr>
          <w:rFonts w:ascii="Times New Roman" w:cs="Times New Roman" w:eastAsia="Times New Roman" w:hAnsi="Times New Roman"/>
          <w:sz w:val="18"/>
          <w:szCs w:val="18"/>
          <w:color w:val="auto"/>
        </w:rPr>
        <w:t>. We initiated the vertical content development strategy in 2015 and have been enriching vertical content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of different interests to the platform of Weibo. We strive to create an ecosystem where our user community can find similar minds on Weibo, express themselves, and interact with each other. In addition, we have incorporated AI technology into content governance to efficiently identify misinformation and malicious speech on our platform.</w:t>
      </w:r>
    </w:p>
    <w:p>
      <w:pPr>
        <w:spacing w:after="0" w:line="13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Equality and diversity</w:t>
      </w:r>
      <w:r>
        <w:rPr>
          <w:rFonts w:ascii="Times New Roman" w:cs="Times New Roman" w:eastAsia="Times New Roman" w:hAnsi="Times New Roman"/>
          <w:sz w:val="18"/>
          <w:szCs w:val="18"/>
          <w:color w:val="auto"/>
        </w:rPr>
        <w:t>. We promote the value of an inclusive and diverse culture with gender equality, which we believe attracts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best talent. Adhering to our equal employment and development principle, our human resources decisions shall be based on each employee’s work performance, motivation, quality and specialty, regardless of gender, and in compliance with the rules and regulations.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Women hold various leader roles in our company, including Ms. Hong Du, our director, and Ms. Fei Cao, our chief financial officer. We will continue to work towards maintaining and enhancing the gender diversity of our board of directors. For instance, we have considered potential female candidates to be recommended to the board of directors, and will continue to ensure there is female board representative to maintain a non-single gender board in compliance with the applicable rules of the relevant stock exchange. We also witnessed a steady increase in the proportion of female employees within our group.</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Social Welfare. </w:t>
      </w:r>
      <w:r>
        <w:rPr>
          <w:rFonts w:ascii="Times New Roman" w:cs="Times New Roman" w:eastAsia="Times New Roman" w:hAnsi="Times New Roman"/>
          <w:sz w:val="18"/>
          <w:szCs w:val="18"/>
          <w:color w:val="auto"/>
        </w:rPr>
        <w:t>As a leading social media platform in China, we uphold social responsibilities and address social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leveraging our platform’s social attribute to disseminate social hot topics, promote charitable causes, facilitate social activities and support sustainable development. We launched the charity platform in 2012 to foster innovative social welfare projects and approaches. We also strive to establish a widespread and real-time social-collaborative network to ensure swift information sharing, rapid multi-stakeholder responses and coordinated actions during emergencies. We also fulfill our social responsibilities through utilizing our platform’s power to support the underprivileged communities, empower rural revitalization and promote the traditional Chinese culture.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Environmental protection</w:t>
      </w:r>
      <w:r>
        <w:rPr>
          <w:rFonts w:ascii="Times New Roman" w:cs="Times New Roman" w:eastAsia="Times New Roman" w:hAnsi="Times New Roman"/>
          <w:sz w:val="18"/>
          <w:szCs w:val="18"/>
          <w:color w:val="auto"/>
        </w:rPr>
        <w:t>. We are committed to achieving carbon neutrality, improving energy and resource efficiency,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integrating the principle of green and low-carbon into our business operations. We track the carbon footprints of our daily operations and procurement processes. For instance, as a part of the data center site selection process, we integrate the energy efficiency levels of suppliers into selection criteria. We have also been implementing strategies and technologies to conserve energy and improve energy efficiency during the operations of data centers. As a leading social media platform, we partner with media, enterprises, government, and non-profit organizations to encourage individuals to participate in green projects, making us a strong advocate for the green philosophy.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restrictions on disclosure to protect our intellectual property rights. As of December 31, 2025, we have registered 384 patents and applied for an additional 26 patents with the PRC State Intellectual Property Office. As of December 31, 2025, we have registered 688 software copyrights with the PRC National Copyright Administration. We have also registered domain names, including weibo.com, weibo.cn and weibo.com.cn. We have obtained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exclusive, perpetual, worldwide and royalty-free license from SINA to use its “</w:t>
      </w:r>
      <w:r>
        <w:rPr>
          <w:sz w:val="1"/>
          <w:szCs w:val="1"/>
          <w:color w:val="auto"/>
        </w:rPr>
        <w:drawing>
          <wp:inline distT="0" distB="0" distL="0" distR="0">
            <wp:extent cx="317500" cy="9398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7500"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w:t>
      </w:r>
      <w:r>
        <w:rPr>
          <w:sz w:val="1"/>
          <w:szCs w:val="1"/>
          <w:color w:val="auto"/>
        </w:rPr>
        <w:drawing>
          <wp:inline distT="0" distB="0" distL="0" distR="0">
            <wp:extent cx="257175" cy="10287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175"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 “</w:t>
      </w:r>
      <w:r>
        <w:rPr>
          <w:sz w:val="1"/>
          <w:szCs w:val="1"/>
          <w:color w:val="auto"/>
        </w:rPr>
        <w:drawing>
          <wp:inline distT="0" distB="0" distL="0" distR="0">
            <wp:extent cx="291465" cy="1111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1465"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trademarks.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implemented procedures to reduce the likelihood that content published on Weibo might be used without proper licenses or third-party consents. For example, we request users to agree to the terms and conditions set forth in the user agreement of our platform, including agreeing not to infringe the intellectual property rights of others. We leverage our technology to monitor and protect original content on our platform. For example, we have launched a self-protection function for video content creators, and the fingerprint trails of their videos will be extracted and saved in our system. Our system will compare against the fingerprint trails extracted from the newly uploaded video by third parties, then send to our screening team for second-level manual review. We will replace the infringing content with the link to the original content. 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particularly in foreign countries where the laws may not protect our proprietary rights as fully as in the United States. From time to time, we may have to resort to litigation to enforce or defend our intellectual property rights, which could result in substantial costs and diversion of our resources.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In addition, even if we are able to license the infringed or similar technology, license fees could be substantial and may adversely affect our results of operations.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See also “Item 3. Key Information—D. Risk Factors—Risks Relating to Our Business—We may not be able to adequately protect our intellectual property, which could cause us to be less competitive.” and “Item 3. Key Information—D. Risk Factors—D. Risks Relating to Our Business—We may be subject to intellectual property infringement claims or other allegations by third parties, which may materially and adversely affect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Weibo has experienced seasonality in its online advertising business. Historically, advertising spending tends to be the lowest in the first quarter of each calendar year due to long holidays around the Lunar New Year. Other factors that may cause our operating results to fluctuate include popular sports events, such as the FIFA World Cup and the Olympic Games. Past performance may not be indicative of future trends, as the mix of advertising industry sectors, which may have different seasonality factors, may shift from quarter to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of PRC laws and regulations is based upon the opinion of Kewei Law Firm, our PRC counsel. For a description of legal risks relating to our ownership structure and business, see “Item 3. Key Information—D.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Microblogs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including existing users who post publicly on their websites.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Cyber Security Law, issued by the Standing Committee of the National People’s Congress on November 7, 2016 and was latest amended on October 28, 2025, and became effective on January 1, 2026,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Cyberspace Administration of China released the Provisions on the Administration of Microblog Information Services on February 2, 2018, which came into effect on March 20, 2018. These provisions provide the principal responsibilities of the microblog service providers, including authentication of true identity information; tiered and categorized management; rumor-dispelling mechanisms; industry self-discipline; social supervision; and administrative management. These provisions require microblog service providers to establish complete and comprehensive systems for registering users; verifying published information; managing posts, comments, and emergency responses; and providing education and training for practitioners; as well as implement a “chief editor system.” Microblog service providers are required to set up sound rumor-dispelling mechanisms, whereby it shall take the initiative to refute rumors when it finds that any microblog service user publishes or spreads any rumor or untruthful information. Furthermore, if new technology is adopted or if any update is made to add an application or function which enable discussion of news or social mobilization capabilities, it shall be reported to the local office of the Cyberspace Administration of China, autonomous region or municipality directly under the State Council for security assessment.</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abovementioned rules, we have added additional clauses into the agreements between the users of our microblog service and us requesting our microblog users to register using their real names.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15, 2018, the Cyberspace Administration of China and the Ministry of Public Security jointly promulgated the Regulations for the Security Assessment of Internet Information Services Having Public Opinion Properties or Social Mobilization Capacity, which deem microblogging, live streaming, information sharing services as internet information having public opinion properties or social mobilization capacity. The service providers providing such services are required to conduct security assessments when they launch new online services, expand the functionality of their existing services, introduce new technologies or applications, experience a significant increase in user base, witness the spread of unlawful or harmful information, or any other circumstance identified by the cybersecurity authorities. These service provides are required to submit security assessment reports to the local cybersecurity authorities and public security bureau via the National Internet Security Management Service Platform.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regulates advertising, including online advertising, principally through the State Administration for Market Regulation, formerly the State Administration for Industry and Commerce. Since 2005, the State Administration for Industry and Commerce has exempted most enterprises (other than radio stations, television stations, newspapers and magazines, non-corporate entities and entities specified in other regulations) that engage in advertising business from the requirement of holding an operating license for advertising in addition to a business license. We conduct our online advertising business through Weimeng, which holds a business license that covers online advertising in its scope of business.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Advertisers, advertising operators and advertising distributors are required by PRC advertising laws and regulations to ensure that the content of the advertisements they produce or distribute are true and in full compliance with applicable laws and regulations. In addition, where a special government review is required for certain categories of advertisements before publishing, advertisers, advertising operators and advertising distributors are obligated to confirm that such review has been duly performed and that the necessary approval has been obtained. Violations of these regulations may result in penalties, including fines, confiscation of advertising income, orders to cease dissemination of the advertisements and orders to publish an advertisement correcting the misleading information. For serious violations, the State Administration for Market Regulation or its local branches may order the violator to terminate its advertising operations or even revoke its business license. Furthermore, advertisers, advertising operators or advertising distributors may be subject to civil liabilities if they infringe on the legal rights and interests of third parties.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24, 2015, the Standing Committee of the National People’s Congress issued the PRC Advertising Law or the Advertising Law, effective on September 1, 2015 and last amended on April 29, 2021. The Advertising Law applies to all advertising activities conducted via the internet. The Advertising Law requires that users must be able to close online pop-up ads with one click. Moreover, internet service providers are obligated to cease publishing any advertisements that they know or should know are illegal. Violation of these regulations may result in penalties, including fines, confiscation of the advertising incomes, termination of advertising operations and even suspension of the provider’s business license.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July 4, 2016, the State Administration for Industry and Commerce issued the Interim Measures for the Administration of Internet Advertising, which became effective on September 1, 2016. These measures clarify that “internet advertisements” means commercial advertisements that promote commodities or services directly or indirectly via internet media such as websites, webpages and internet application programs in the form of texts, pictures, audio, video or other forms. These measures also impose a number of new requirements on internet advertisers. For example, paid search advertisements should be clearly distinguished from ordinary search results. In addition, consistent with the Advertising Law, these measures require that advertisements published on internet pages in the form of pop-ups or other similar forms shall be clearly marked with a “Close” button to ensure “one click to close.” These measures also prohibit unfair competition in internet advertisement publishing, including (i) providing or using any programs or hardware to intercept or filter any legally operated advertisements of other persons; and (ii) using network pathways, network equipment or applications to disrupt the normal data transmission of advertisements, alter or block legally operated advertisements of other persons or load advertisements without authorization. Violation of these regulations may result in fine of up to RMB30,000, with any punishments administrated by the Administrative Authority for Industry and Commerce in the place where the advertisement publisher is located.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25, 2023, the State Administration for Market Regulation released the Measures for the Administration of Internet Advertising, which became effective on May 1, 2023. The goal of these measures is to ensure transparency, protect user rights and assign responsibilities to advertising agents, publishers, and platform operators. These measures provide guidelines for various forms of online advertisements, including pop-ups, open-screen, live-streaming, “soft text,” linked, auction ranked, algorithm-recommended, live streaming, and covert advertisements. For example, when promoting goods through “soft text” ads, the publisher must clearly indicate that it is an advertisement using a label. These regulations require internet platform operators to prevent and stop illegal advertisements, such as recording and storing user identity information, monitoring content, and using warnings or suspensions for users who publish illegal ads. Platform operators must also establish complaint and reporting mechanisms and cooperate with competent authorities. Platforms are not allowed to obstruct monitoring by the authorities. Violation of these measures may result in fines, confiscation of illegal profits, business operation suspension, and revocation of licenses. The administrative penalty decisions made by the governmental authorities will be publicly disclosed through the National Enterprise Credit Information Publicity System.</w:t>
      </w:r>
    </w:p>
    <w:p>
      <w:pPr>
        <w:spacing w:after="0" w:line="17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To comply with these laws and regulations, we include clauses in all of our advertising contracts requiring that all advertising content provided by advertisers or advertising agencies must comply with the laws and regulations.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Telecommunications Regulations, promulgated by the State Council in 2000, and were last revised in 2016, draw a distinction between “basic telecommunication services” and “value-added telecommunication services.” Internet content provision services is a subcategory of value-added telecommunications services. According to the Catalogue of Telecommunications Business, most recently updated on June 6, 2019, the “value-added telecommunication services” was further classified into two sub-categories and 10 items. Internet content provision service is under the second subcategory of value-added telecommunications businesses. Under the Telecommunications Regulations, commercial operators of value-added telecommunications services must first obtain an operating license from the Ministry of Industry and Information Technology or its provincial level counterparts.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State Council issued the Administrative Measures on Internet Information Services concurrently with the Telecommunications Regulations in 2000 to regulate internet content provision services, which was subsequently amended on January 8, 2011. According to these measures, commercial internet content provision service operators must obtain an Internet Content Provision License from the government authorities before engaging in any commercial internet content provision operations within the PRC. These measures further stipulate that entities providing internet content provision services regarding news, publishing, education, medicine, health, pharmaceuticals and medical equipment must procure the approval of the national government authorities responsible for such areas prior to applying for an operating license from the government authorities.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Measures on Telecommunications Business Operating Licenses, promulgated by the Ministry of Industry and Information Technology in 2001 and most recently revised in 2017, set forth the types of licenses required to operate value-added telecommunications services and the qualifications and procedures for obtaining such licenses. For example, an information service operator providing value-added telecommunication services in multiple provinces is required to obtain an inter-regional license, whereas an information services operator providing the same services in one province is required to obtain a local license.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comply with these PRC laws and regulations, Weimeng holds an Internet Content Provision License issued by the Beijing Telecommunications Administration. In addition, Weimeng also holds an inter-regional Value-Added Telecommunications Services Operating License for provision of value-added telecommunication services nationwide.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Corporate Governance and Foreign Ownership in Value-Added Telecommunications Services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establishment, operation, and management of companies in China are governed by the PRC Company Law, as last amended on December 20, 2023 and effective on July 1, 2024. According to the PRC Company Law, a company established in the PRC may take the form of a limited liability company or a joint stock company with limited liability. Each company is an independent legal entity with property rights. Foreign-invested companies established in PRC are also subject to the PRC Company Law. Shareholders of a limited liability company must fully pay in their subscribed registered capital within five years from the date of establishment of this company. Companies established before July 1, 2024 shall gradually adjust their capital contribution to meet this new requirement. This law also imposes greater personal liability for directors, supervisors and management. Violation of this law could lead to sanctions and penalties, including fines, orders to correct and public announcements of violations.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Provisions on Administration of Foreign Invested Telecommunications Enterprises, promulgated by the State Council in 2001 and most recently amended in 2022, the ultimate foreign equity ownership in a value-added telecommunications service provider must not exceed 50%, except as otherwise stipulated by the state. Foreign investors that meet these requirements must obtain approvals from the Ministry of Industry and Information Technology and the Ministry of Commerce or their authorized local branches. Due to the limitation of foreign investment in value-added telecommunications services companies that provide internet information services, we would be prohibited from acquiring any equity interest in Weimeng. In addition, we believe that our contractual arrangements with Weimeng and its individual shareholders provide us with sufficient and effective control over Weimeng. Accordingly, we currently do not plan to acquire any equity interest in Weimeng.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Notice of the Ministry of Industry and Information Technology on Intensifying the Administration of Foreign Investment in Value-added Telecommunications Services, issued in 2006, prohibits domestic telecommunications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Either the holder of a value-added telecommunications business operating license or its shareholders must legally own the domain names and trademarks used by such license holder in providing value-added telecommunications services. The notice further requires each license holder to have the necessary facilities, including servers, for its approved business operations and to maintain such facilities in the regions covered by its license. In addition, all value-added telecommunications service providers are required to maintain network and internet security in accordance with the standards set forth in the PRC regulations. If a license holder fails to comply with the requirements in the notice and cure such non-compliance, the Ministry of Industry and Information Technology or its local counterparts have the discretion to take measures against such license holders, including revoking their value-added telecommunications business operating licenses.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National People’s Congress approved the Foreign Investment Law on March 15, 2019 and the State Council approved the Regulation on Implementing the Foreign Investment Law on December 26, 2019, effective from January 1, 2020. The Foreign Investment Law and its implementation regulations embody an expected PRC regulatory trend to rationalize its foreign investment regulatory regime in line with prevailing international practice and the legislative efforts to unify the corporate legal requirements for both foreign and domestic investments. The Foreign Investment Law and its implementation regulations reference a negative industry list for foreign investment’s access into various PRC domestic industries. This negative list has been updated from time to time by the State Council and sets forth industry sectors prohibited to foreign investment. According to the Special Administrative Measures for Access of Foreign Investment (Negative List) (2024) effective on November 1, 2024, the ultimate foreign equity ownership of a value-added telecommunications service (other than e-commerce, domestic multi-party communications, storage-forwarding and call centers) provider in the PRC may not exceed 50%.</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Supreme People’s Court of China issued a judicial interpretation on the Foreign Investment Law on December 27, 2019, effective from January 1, 2020, to ensure fair and efficient implementation of the Foreign Investment Law. According to the judicial interpretation, courts in China shall not support contracted parties to claim foreign investment contracts in sectors not on the negative list as void because the contracts have not been approved or registered by administrative authorities. In addition, courts in China shall support contracted parties who claim (i) foreign investment contracts for sectors prohibited by the negative list as void, or (ii) foreign investment contracts in sectors where foreign investment is restricted as void because the contracts have violated the restrictions in the negative list.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comply with these PRC regulations, we operate our platform through Weimeng. Weimeng is currently owned by four PRC employees of our company or SINA, Y. Liu, W. Wang, W. Zheng and Z. Cao, and a third-party minority stake holder, WangTouTongDa (Beijing) Technology Co., Ltd. Weimeng holds an Internet Content Provision License and an Online Culture Operating License. Weimeng owns the domain names related to its operations and our platform (weibo.com, weibo.cn, and weibo.com.cn), while the trademarks relating to our operations are held by Weibo Technology, Weimeng and SINA’s subsidiaries. Due to the fact that trademarks owned by SINA’s subsidiaries contain SINA’s Chinese name or logo, such trademarks cannot be transferred to us. However, each of SINA’s subsidiaries has granted an exclusive license to Weimeng for its use of such trademarks. If the PRC government authorities determine in the future that the current ownership of our trademarks do not comply with the regulations and the trademarks relating to our operations must be held by Weimeng, we may need to transfer these trademarks to Weimeng, which could severely disrupt our business.</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If, despite these precautions, the PRC government determines that we do not comply with applicable laws and regulations, it can revoke our business and operating licenses, require us to discontinue or restrict our operations, restrict our right to collect revenues, block our platform, require us to restructure our operations, including possibly the establishment or restructuring of a foreign-invested telecommunications enterprise, re-application for the necessary licenses, or relocation of our businesses, staff and assets, impose additional conditions or requirements with which we may not be able to comply, or take other regulatory or enforcement actions against us. See “Item 3. Key Information—D. Risk Factors—Risks Relating to Our Corporate Structure—If the PRC government determines that the contractual arrangements constituting part of the VIE structure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Content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National security considerations are an important factor in the regulation of internet content in China. The National People’s Congress has enacted laws with respect to maintaining the security of internet operations and internet content. According to these laws, as well as the Administrative Measures on Internet Information Services, violators may be subject to penalties, including criminal sanctions, for internet content that:</w:t>
      </w:r>
    </w:p>
    <w:p>
      <w:pPr>
        <w:spacing w:after="0" w:line="187" w:lineRule="exact"/>
        <w:rPr>
          <w:sz w:val="20"/>
          <w:szCs w:val="20"/>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stated in the PRC Constitution;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national security, divulges state secrets, subverts state power or damages national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undermines the PRC’s religious policy or propagates superstition;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obscenity or pornography, encourages gambling, violence, murder or fear or incites the commission of a crime;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prohibited by law or administrative regulations.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Internet content provision service operators are required to monitor their websites. They may not post or disseminate any content that falls within these prohibited categories and must remove any such content from their websites. The PRC government may shut down the websites of Internet Content Provision License holders that violate any of the abovementioned content restrictions, order them to suspend their operations, or revoke their Internet Content Provision Licenses.</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4, 2015, the Cyberspace Administration of China promulgated the Administrative Provisions on Account Names of Internet Users, which became effective as of March 1, 2015. These provisions require internet service providers to authenticate registered users’ identity information and to commit to complying with the “seven basic requirements,” including observing the laws and regulations, protecting state interests, as well as ensuring the authenticity of any information they provide. Internet information service providers are responsible for protecting users’ privacy, the consistency between user information, such as account names, avatars, and the requirements set forth in these provisions, making reports to the competent authorities regarding any violation of these provisions, and taking appropriate measures to stop any such violations, such as, notifying the user to make corrections within a specified time and suspending or closing accounts in the event of continuing non-compliance.</w:t>
      </w:r>
    </w:p>
    <w:p>
      <w:pPr>
        <w:spacing w:after="0" w:line="1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25, 2017, the Cyberspace Administration of China promulgated the Administrative Provisions on Internet Follow-up Comment Services, which was amended on November 16, 2022 with effect from December 15, 2022. These provisions provide that internet follow-up comment service providers must verify the identification information of registered users, establish and improve user personal information protection systems, as well as establish and improve internet follow-up comment review and administration systems for real-time monitoring of user comments and emergency responses.</w:t>
      </w:r>
    </w:p>
    <w:p>
      <w:pPr>
        <w:spacing w:after="0" w:line="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25, 2017, the Cyberspace Administration of China promulgated the Administrative Provisions on Internet Forum and Community Services, which became effective on October 1, 2017. These provisions provide that internet forum and community service providers must assume primary responsibility for establishing and improving real-time information verification, emergency response capabilities, and personal information protections as well as other information security administration systems to institute preventative safety measures with employed professionals and necessary technical support for performing these duties.</w:t>
      </w:r>
    </w:p>
    <w:p>
      <w:pPr>
        <w:spacing w:after="0" w:line="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7, 2017, the Cyberspace Administration of China promulgated the Provisions on the Administration of Information Services Provided through Chat Groups on the Internet, which became effective as of October 8, 2017. These provisions require information service providers to verify the identification information of users of information services through internet chat groups and take necessary measures to protect user safety and personal information.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September 7, 2017, the Cyberspace Administration of China promulgated the Administrative Provisions on the Information Services Provided through Official Accounts of Internet Users, as amended on January 22, 2021 and became effective on February 22, 2021. Pursuant to these provisions, official accounts, or public accounts on certain social media, refer to subscription accounts created and run by users of internet platforms to distribute information to the public. These platforms are required to establish and improve a management system for user registration, information content security, content ecology, data security, personal information protection, intellectual property protection and credit assessment, and a monitoring and evaluation mechanism for public accounts, to prevent fraud such as false account subscriptions and interaction counts. Platforms shall also establish and disclose management rules and platform codes with respect to information content production and public account operation, both of which shall be filed with the local cyberspace administrator. These provisions also require platforms to verify the consistency of user information on the platform with the user’s real identity and prohibit the operators of public accounts from illegally transferring those accounts to others. Furthermore, platforms shall establish and improve mechanisms to deal with online rumors and other false information. When cooperating with account operators, platforms shall regulate and manage business acts such as e-commerce sales, advertisement publishing, and user reward. In addition, platform operators are obligated to prevent false advertisements and commercial fraud from occurring on their platforms.</w:t>
      </w:r>
    </w:p>
    <w:p>
      <w:pPr>
        <w:spacing w:after="0" w:line="1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15, 2019, the Cyberspace Administration of China promulgated the Regulations on the Ecological Governance of Network Information Content, effective from March 1, 2020, which specify the content scopes that are encouraged, prohibited or prevented from producing, re-producing and publishing. The network information content producers should take measures to prevent and resist the production of content that uses exaggerated titles that are inconsistent with the content, may incite racism or discrimination against geographic region, and propagates gossip and scandals. The network information content service platforms should fulfill the main responsibility of content management and establish an ecological governance mechanism of the network information, improve system for user registration, account management, information publishing review, and emergency response. The network information content service users, network information content producers and network information content service platforms should not, through manual or technical means, carry out acts, such as traffic falsification, traffic hijacking, false registration of account IDs, illegal trading of account IDs, or manipulation of user account IDs, that destroy network ecology.</w:t>
      </w:r>
    </w:p>
    <w:p>
      <w:pPr>
        <w:spacing w:after="0" w:line="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Cyberspace Administration of China launched a “Fan Group Chaos Rectification” special action on June 15, 2021, followed by the issuance of the Notice on Further Strengthening the Management of Chaos in Fan Groups on August 25, 2021. Both of the special action and notice are intended to curb inappropriate actions in online fan groups for celebrities, specifically, in various fans interactive features and functions to curb attacks, stigmatization, fans community fiction and hostilities and the spread of other harmful information. This notice requested the cancellation of all rankings of celebrities. The rankings of music, film and television works are still allowed, but the network platforms should optimize and adjust ranking rules to focus on the art works themselves and professional evaluation. Furthermore, minors are not allowed to make virtual gifting or spending money on supporting idols, or act as the organizer or manager of a fan group.</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26, 2021, the Cyberspace Administration of China issued the Notice on Further Strengthening the Regulation on Online Information of Entertainment Celebrities, which requests internet platforms to monitor information posted by celebrities online so as to timely identify hot topics that could involve illegal actions and to promptly report to the competent authorities in such event.</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27, 2022, the Cyberspace Administration of China promulgated the Administrative Provisions on the Account Information of Internet Users, with effect from August 1, 2022, which provides guidelines on registration and use of internet accounts by internet users and management of internet account information by internet information service providers. The internet information service providers shall be responsible for performing the management obligations of internet account information. These providers shall have adequate professional personnel and technical capacity commensurate with their service scales, and establish and strictly implement the management rules on verification of identity information, verification of account information, security of information content, ecological governance, emergency responses, and personal information protection.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9, 2022, the Cyberspace Administration of China, the Ministry of Industry and Information Technology and State Administration for Market Regulation jointly issued the Administrative Provisions on Internet Pop-up Window Information Notification Services, with effect from September 30, 2022, which provides that internet pop-up window information notification services providers shall be responsible for the management of information content, and shall establish and improve management rules on information content review, ecological governance, data security, personal information protection and protection of minors.</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12, 2024, the Cyberspace Administration of China, The Ministry of Public Security, the Ministry of Culture and Tourism, the State Administration of Radio and Television jointly issued the Provisions on the Governance of Cyberviolence Information, which took effect on August 1, 2024. The provisions require (i) network information service providers to take primary responsibility for managing online content by establishing mechanisms for cyberviolence governance and (ii) network information service providers to implement systems for user registration, account management, personal information protection, content review, monitoring, and early warnings to identify and address cyberviolence information, and take measures such as deleting, shielding, and disconnecting links, keep relevant records, and report the case to relevant authorities for cyberviolence illegal information.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comply with these PRC laws and regulations, we have removed the function of star power list on our platform and adopted internal procedures to monitor content displayed on our platform, including a team of employees dedicated to screening and monitoring content uploaded on our platform and removing inappropriate or infringing content.</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PRC regulatory authorities find any content displayed on or through our platform objectionable, they may require us to limit or eliminate the dissemination or availability of such content on our platform or impose penalties, including the revocation of our operating licenses or the suspension or shutdown of our online operations. In addition, the costs of compliance with these regulations may increase as the volume of content and number of users on our website increase. See “Item 3. Key Information—D. Risk Factors—Risks Relating to Doing Business in China—Regulation and censorship of information disseminated over the internet in China may adversely affect our business and subject us to liability for information displayed on Weibo.”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Information Security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Internet content in China is regulated and restricted from a state security point of view. The Decision Regarding the Safeguarding of Internet Security, enacted by the Standing Committee of the National People’s Congress and amended in 2009, makes it unlawful to: (i) gain improper entry into a computer or system of strategic importance; (ii) disseminate politically disruptive information; (iii) leak state secrets; (iv) spread false commercial information; or (v) infringe intellectual property rights.</w:t>
      </w: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Measures for the Security Protection of International Connections to Computer Information Network, promulgated by the Ministry of Public Security in 1997 and amended in 2011, prohibit the use of the internet in ways that, among other things, result in a leakage of state secrets or the distribution of socially destabilizing content.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PRC’s national defense affairs, state affairs and other matters as determined by the PRC authorities.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Provisions on Technological Measures for Internet Security Protection, promulgated by the Ministry of Public Security in 2005, require all internet content provision operators to keep records of certain information about their users (including user registration information, log-in and log-out times, IP addresses, content and time of posts by users) for at least 60 days. If an internet content provision operator violates these measures, the PRC government may revoke its Internet Content Provision License and shut down its websites.</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State Secrecy Bureau has issued provisions authorizing the blocking of access to any website it deems to be leaking state secrets or failing to comply with the legislation regarding the protection of state secrets.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foreign investment, key technologies, internet and information technology products and services, and other important activities that are likely to impact national security of China.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14" w:lineRule="exact"/>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was amended on October 28, 2025 with effect from January 1, 2026. The Cyber Security Law provides that network operators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 Security Law sets forth elevated security requirements and strengthened penalties for operators of “critical information infrastructure.” These requirements include data localization, i.e., storing personal information and important business data in China, national security review requirements for any network products or services that may have an impact on national security, synchronized planning and deployment of security technologies during infrastructure construction, establishing dedicated cybersecurity teams with background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checked key personnel, providing regular cybersecurity training and assessments, implementing disaster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recovery backups and incident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response drills, signing security and confidentiality agreements when procuring network products or services, and conducting annual security assessments and reporting the results to authorities. The penalty regime applicable to all network operators, including the operator of “critical information infrastructure”, has also been enhanced, with the maximum fine for violating such obligations increased to RMB10 million. Among other factors, “critical information infrastructure” is defined as critical information infrastructure, that will, in the event of destruction, loss of function or data leak, result in serious damage to national security, the national economy and people’s livelihoods, or the public interest. Specific reference is made to key sectors such as public communication and information services, energy, transportation, water-resources, finance, public services and e-government. Specifically, where a network operator, in violation of Articles 49 or 52 of the Cyber Security Law, fails to stop the transmission of, remove, or otherwise take necessary measures with respect to information whose publication or transmission is prohibited by laws or administrative regulations, fails to retain relevant records, or fails to report such matters to the competent authorities, the competent authorities may order rectification, issue warnings, circulate notices of criticism, and impose fines ranging from RMB50,000 to RMB500,000. Where rectification is refused or the circumstances are serious, higher fines ranging from RMB500,000 to RMB2,000,000 may be imposed, and the competent authorities may further order the suspension of relevant business operations, shutdown of websites or applications, or revocation of relevant business permits or business licenses. In addition, the directly responsible persons in charge and other directly responsible personnel may be fined between RMB50,000 and RMB200,000. Where the foregoing violations cause particularly serious impact or consequences, fines ranging from RMB2,000,000 to RMB10,000,000 may be imposed. The competent authorities may further take the aforesaid administrative measures, and the directly responsible persons in charge and other directly responsible personnel may be fined between RMB200,000 and RMB1,000,000. The Cyber Security Law also provides that the Cyberspace Administration of China and departments, upon discovery of any publication or transmission of information prohibited by laws or administrative regulations, shall request the network operators to stop the transmission, take disposal measures such as deletion, and keep records. The Cyberspace Administration of China will notify other departments to take technological and other measures to block the transmission of any information sourced from outside the territory of China.</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15, 2019, the Cyberspace Administration of China and the State Administration for Market Regulation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 The institution designated for this certification is the China Cybersecurity Review Technology and Certification Center. This institution has the right to appoint testing agencies to inspect technical capabilities and business operations for the certification.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12 PRC governmental authorities including the Cyberspace Administration of China issued the Measures for Cybersecurity Review, with effect from February 15, 2022, which provide detailed cybersecurity review procedures for the purchase of network products and services by operators of “critical information infrastructure” or the data processing activities by a network platform operator. According to these measures, “network products and services” primarily refer to core network equipment, important communication product, high-performance computers and servers, mass storage equipment, large databases and applications, network security equipment, cloud computing services, and other network products and services that may have an important impact on the security of critical information infrastructure, cyber security or data security.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 to the Measures for Cybersecurity Review, before purchasing any network products or services, an operator of “critical information infrastructure” shall assess potential national security risks that may arise from the launch or use of such products or services, and apply for a cybersecurity review with the Cybersecurity Review Office if national security will or may be affected. To apply for a cybersecurity review, the operator of “critical information infrastructure” shall submit (i) an application letter, (ii) a report to analyze the impact or the potential impact on national security, (iii) purchase documents, agreements and the draft contracts, and (iv) other necessary materials. The cybersecurity review will evaluate the potential impact on national security due to the purchase of network products and services, taking into consideration of the following factors, (i) the risk of any critical information infrastructure being illegally controlled, interfered, or sabotaged after using these products or services, (ii) the harm to the business continuity of any critical information infrastructure caused by the disruption of supply of these products and services, (iii) the security, openness, transparency and variety of sources of these products or services, the reliability of supply channels, as well as risks of supply interruptions due to factors such as politics, diplomacy and trade, and (iv) the risk of any core data, material data or a large amount of personal information being stolen, leaked, damaged illegally used, or illegally transferred abroad.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Cybersecurity Review Office deems it necessary to conduct a cybersecurity review, it should complete a preliminary review within 30 business days from the issuance of a written notice to the operator, or 45 business days for complicated cases. Upon the completion of a preliminary review, the Cybersecurity Review Office should reach a review conclusion suggestion and send the review conclusion suggestion to the implementing body for the cybersecurity review mechanism and the authorities for their comments. These authorities shall issue a written reply within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should be completed within 90 business days, or longer for complicated cases.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22, 2020, the Ministry of Public Security published the Guidelines on Cybersecurity Protection System and Critical Information Infrastructure Security Protection System, which require competent authorities of public communication and information services, energy, transportation, water conservancy, finance, public services, electric governmental services, national defense science, technology and industry and other important industries and fields to formulate rules to identify critical information infrastructure in their respective industries fields, and furnish a list of identified entities with the Ministry of Public Security. Specifically, key protected assets, such as basic networks, large private networks, core business systems, cloud platforms, big data platforms, internet of things, industrial control systems, intelligent manufacturing systems, new internet and emerging communication facilities that meet the requirements for identification should be identified as critical information infrastructure.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which took effect on September 1, 2021. The Data Security Law establishes a classified and tiered system for data protection based on the level of importance of the data in the economic and social development, as well as the level of danger of the data imposed on national security, public interests, or the legal interests of individuals and organizations upon any manipulation, destruction, leakage, illegal acquisition or illegal usage. Furthermore, it is specified that the Cyber Security Law applies to the security administration of the cross-border transfer of important data collected and generated by operators of “critical information infrastructure” during their operations in China.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on Strictly Combating Illegal Securities Activities, which request improvement on the laws and regulations related to data security, cross-border data transfer and the management of confidential information, strengthening principal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Protection of Critical Information Infrastructure, effective on September 1, 2021. According to these regulations, a “critical information infrastructure” means an important network facility and information system in important industries such as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The governmental departments and supervision and management departments of these important industries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PRC Personal Information Protection Law, effective from November 1, 2021. The PRC Personal Information Protection Law requires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shall be responsible for their personal information handling activities, and shall adopt necessary measures to safeguard the security of the personal information they handle. Violations of these rules may result in sanctions and penalties such as orders to correct, suspension or termination of the provision of services, confiscation of illegal income, and fines. Specifically, where violations are serious, the competent authorities may impose administrative fines of up to RMB50,000,000 or up to 5% of the previous year’s turnover, whichever is higher, and may also order the suspension of relevant business operations, suspension of business for rectification, or the revocation of relevant business permits or business licenses. In addition, the directly responsible persons in charge and other directly responsible personnel may be subject to personal fines and, in certain circumstances, disqualification from holding senior management or personal information protection–related positions for a specified period of time.</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On February 24, 2023, the CSRC together with other PRC governmental authorities issued the Provisions on Strengthening the Management of Confidentiality and Archives regarding Overseas Securities Offerings and Listings by Domestic Companies, with effect from March 31, 2023, pursuant to which, domestic companies, securities companies and securities service institutions involved in the overseas offerings and listings by PRC domestic companies, either in direct or indirect form, must establish a system of confidentiality and archival management to prevent disclosure of state secrets or harm to the state and public interests. These provisions require domestic companies involved in overseas offerings and listings to obtain approval from the competent authority and file with the secrecy administrative department at the same level before providing or publicly disclosing any document or material that involves state secrets or working secrets of state organizations. They must strictly follow the procedures in accordance with regulations to provide any document or material, the leakage of which may have adverse effects on national security or public interests. PRC domestic companies must provide statements to securities companies and securities service institutions indicating that they have followed these requirements. Additionally, domestic companies must enter into a confidentiality agreement with securities companies and securities service institutions to specify their confidentiality obligations and liabilities in accordance with laws and regulations. Working papers produced by securities companies and securities service institutions within the PRC for overseas offerings and listings shall also be stored within the PRC. These provisions also require domestic companies to complete necessary procedures before providing accounting archives to entities, including securities companies, securities service institutions, overseas regulators, and individuals. PRC domestic companies, securities companies and securities service institutions must obtain the necessary approval before providing documents and information in response to inspections and investigations by overseas regulators. These inspections and investigations should be conducted via the cross-border supervision mechanism whereby the PRC regulators will provide necessary assistance.</w:t>
      </w:r>
    </w:p>
    <w:p>
      <w:pPr>
        <w:spacing w:after="0" w:line="17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On September 30, 2024, the State Council released the Administrative Measures for Network Data Security, which came into effect on January 1, 2025. The administrative measures provide detailed operational guidelines for the implementation of the PRC Cyber Security Law, Data Security Law, and Personal Information Protection Law. According to the administrative measures, data processors must identify and report the type of important data involved in their business pursuant to relevant guidelines, and processors of important data must adopt specific measures to secure important data, such as designating the personnel and internal management department for network data security and conducting risk assessment and submitting annual risk assessment reports to relevant authorities. Failure to protect important data, including failure to identify and report the type of important data, can lead to administrative penalties, including fines, suspension of business operations, and revocation of business licenses. The administrative measures also require companies processing personal information of 10 million individuals or more to implement additional measures on personal information protection, including, but not limited to, designating the personnel and management body responsible for network data security. In terms of network platform governance, the administrative measures impose compliance obligations on network platform service providers. In particular, such compliance obligations include requiring network platform service providers to oversee the network data security practice of third parties who provide products or services on the platform and imposing legal liabilities when such third parties’ network data processing activities violate applicable laws or the platform rules and causes damage to users. Large network platform operators, defined as those (i) with over 50 million registered users or more than 10 million monthly active users; (ii) having complex business models; and (iii) conducting network data processing activities that may significantly impact national security, economic operations and public welfare, should publish annual social responsibility report on personal information protection, and should not carry out unfair or deceptive practices such as collecting and processing user data through misleading, fraudulent, or coercive means, unjustified restrictions on user data access, and unreasonable differential treatment of users.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Weimeng is an internet content provision operator, we are subject to laws and regulations relating to information security. To comply with these laws and regulations, Weimeng has completed the mandatory security filing procedures with local public security authorities. We regularly update our information security and content-filtering systems based on any newly issued content restrictions, and maintain records of user information as required by the laws and regulations. We have also taken measures to delete or remove links to content that, to our knowledge, contains information that violates PRC laws and regulations.</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despite the precautions, we fail to identify and prevent illegal or inappropriate content from being displayed on or through our platform, we may be subject to liability. In addition, these laws and regulations are subject to interpretation by the authorities, and it may not be possible to determine in all cases what content could result in liability. To the extent that PRC regulatory authorities find any content displayed on or through our platform objectionable, they may require us to limit or eliminate the dissemination or availability of such content or impose penalties, including the revocation of our operating licenses or the suspension or shutdown of our online operations. In addition, the costs of compliance with these regulations may increase as the volume of content and users on our website increase. See “Item 3. Key Information—D. Risk Factors—Risks Relating to Doing Business in China—Regulation and censorship of information disseminated over the internet in China may adversely affect our business and subject us to liability for information displayed on Weibo.”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Algorithm Recommendations and Generative AI</w:t>
      </w: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published the Anti-Monopoly Guidelines for the Internet Platform Economy Sector, which stipulates that online platform operators who use technological advantages, such as data and algorithms, to eliminate or restrict competition or impose price restrictions or exclusivity requirements on users may be deemed as committing an abuse of dominant market position.</w:t>
      </w:r>
    </w:p>
    <w:p>
      <w:pPr>
        <w:spacing w:after="0" w:line="15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December 31, 2021, the Cyberspace Administration of China, together with the Ministry of Industry and Information Technology, the Ministry of Public Security and the State Administration for Market Regulation, jointly issued the Administrative Provisions on Algorithm Recommendation of Internet Information Services, with effect from March 1, 2022, which provides that algorithm recommendation service providers are not allowed to use algorithms to register false user accounts, block information, give excessive recommendations, and that users should be given an option to easily turn off algorithm recommendation services.</w:t>
      </w:r>
    </w:p>
    <w:p>
      <w:pPr>
        <w:spacing w:after="0" w:line="15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November 25, 2022, the Cyberspace Administration of China, together with the Ministry of Industry and Information Technology, the Ministry of Public Security jointly issued the Administrative Provisions on Deep Synthesis of Internet Information Services, with effect from January 10, 2023, which require deep synthesis service providers having public opinion properties or social mobilization capacity to complete the filing procedures under the Administrative Provisions on Algorithm Recommendation of Internet Information Services.</w:t>
      </w:r>
    </w:p>
    <w:p>
      <w:pPr>
        <w:spacing w:after="0" w:line="14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July 13, 2023, the Cyberspace Administration of China released the Interim Administrative Measures for Generative Artificial Intelligence Services, with effect from August 15, 2023, pursuant to which, any entity or individual that utilizes generative AI technology to provide texts, pictures, audio, video or other content generation services to the public within the territory of PRC shall assume the responsibility as a content producer for the content generated by generative AI technology. If personal information is involved, these providers are required to take the responsibility as the personal information processors and protect personal information. Furthermore, the providers providing generative AI services with attributes of public opinions or capable of social mobilization must apply for security assessments from the national cyberspace authority and follow algorithm filings procedures. These providers are also required to adhere to certain principles, including ensuring that the content created by generative AI aligns with societal morals and does not threaten national security, taking measures to avoid discrimination, ensuring the accuracy of generated content, and respecting intellectual property rights. If any illegal generated content is discovered, these providers must timely take measures such as termination of generation and transmission of inappropriate content, prevent the recurrence through model optimization training and other methods, and report to the authorities. These providers shall label pictures, videos, and other AI-generated content in accordance with the Administrative Provisions on Deep Synthesis of Internet Information Services.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March 7, 2025, the Cyberspace Administration of China, the Ministry of Industry and Information Technology, the Ministry of Public Security, and the State Administration of Radio and Television jointly issued the Measures for Labelling Artificial Intelligence Generated Contents with effect from September 1, 2025, which requires network information service providers to label AI-generated contents with explicit labels and implicit labels. Explicit labels should be added to AI-generated text, images, audio, video and virtual content that may cause confusion or misidentification of the public and implicit labels should be added to the file metadata of AI-generated contents. Service providers that offer online content dissemination services are required to verify AI-generated content and ensure that appropriate labels are affixed. If metadata underlying certain content lacks AI labels, but the service provider detects traces and signs of AI generation from such content, the service provider must flag such data accordingly. Additionally, app distribution platforms must require service providers to disclose if they offer AI-generated content services and verify the related labelling materials. Users are required to declare AI-generated content and use the labelling functions provided by the service provider when publishing such content.</w:t>
      </w:r>
    </w:p>
    <w:p>
      <w:pPr>
        <w:spacing w:after="0" w:line="154" w:lineRule="exact"/>
        <w:rPr>
          <w:sz w:val="20"/>
          <w:szCs w:val="20"/>
          <w:color w:val="auto"/>
        </w:rPr>
      </w:pPr>
    </w:p>
    <w:p>
      <w:pPr>
        <w:jc w:val="both"/>
        <w:ind w:firstLine="648"/>
        <w:spacing w:after="0" w:line="231" w:lineRule="exact"/>
        <w:rPr>
          <w:sz w:val="20"/>
          <w:szCs w:val="20"/>
          <w:color w:val="auto"/>
        </w:rPr>
      </w:pPr>
      <w:r>
        <w:rPr>
          <w:rFonts w:ascii="Times New Roman" w:cs="Times New Roman" w:eastAsia="Times New Roman" w:hAnsi="Times New Roman"/>
          <w:sz w:val="18"/>
          <w:szCs w:val="18"/>
          <w:color w:val="auto"/>
        </w:rPr>
        <w:t>On December 18, 2025, the Cyberspace Administration of China and the State Administration for Market Regulation jointly issued the Livestreaming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Supervision and Administration Measures with effect from February 1, 2026, which provide that, in the context of livestreaming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any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human images or videos used shall be clearly labelled and continuously disclosed to consumers. Operators managing or using such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characters shall bear corresponding legal liability for violations under such measures.</w:t>
      </w:r>
    </w:p>
    <w:p>
      <w:pPr>
        <w:spacing w:after="0" w:line="172" w:lineRule="exact"/>
        <w:rPr>
          <w:sz w:val="20"/>
          <w:szCs w:val="20"/>
          <w:color w:val="auto"/>
        </w:rPr>
      </w:pPr>
    </w:p>
    <w:p>
      <w:pPr>
        <w:jc w:val="both"/>
        <w:ind w:firstLine="648"/>
        <w:spacing w:after="0" w:line="231" w:lineRule="exact"/>
        <w:rPr>
          <w:sz w:val="20"/>
          <w:szCs w:val="20"/>
          <w:color w:val="auto"/>
        </w:rPr>
      </w:pPr>
      <w:r>
        <w:rPr>
          <w:rFonts w:ascii="Times New Roman" w:cs="Times New Roman" w:eastAsia="Times New Roman" w:hAnsi="Times New Roman"/>
          <w:sz w:val="18"/>
          <w:szCs w:val="18"/>
          <w:color w:val="auto"/>
        </w:rPr>
        <w:t>On November 13, 2025, the China National Intellectual Property Administration amended the Patent Examination Guidelines with effect from January 1, 2026, which reaffirm that inventors must be natural persons and mandate accurate disclosure of all inventors’ identity information, expressly prohibiting the designation of institutions, collectives, or AI systems as inventors. The revised Guidelines further strengthen disclosure requirements for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inventions by requiring patent specifications to clearly describe model architectures, training processes and key parameters, or to explain how algorithms are combined with specific application scenarios, so as to ensure that the claimed technical solution can be implemented by a person skilled in the art.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March 20, 2026, the Ministry of Industry and Information Technology together with nine other governmental authorities, released the Artificial Intelligence Technology Ethics Review and Services Measures (Trial), or the Ethics Review Measures which took effect upon the release. The Ethics Review Measures require relevant entities, including universities, research institutions, medical and healthcare institutions and enterprises, to integrate technology ethics requirements throughout the entire lifecycle of artificial intelligence technology activities, and to establish a technology ethics (review) committee if their research involves sensitive fields of sci-tech ethics, while other entities with technology ethics review needs may establish such a committee based on their specific circumstances. The Ethics Review Measures further specify review procedures, documentation requirements and key review considerations.</w:t>
      </w:r>
    </w:p>
    <w:p>
      <w:pPr>
        <w:spacing w:after="0" w:line="146"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On April 10, 2026, the Cyberspace Administration of China, together with the National Development and Reform Commission, the Ministry of Industry and Information Technology, the Ministry of Public Security and the State Administration for Market Regulation, promulgated the Interim Measures for the Administration of Artificial Intelligence Anthropomorphic Interaction Services, or the Anthropomorphic Interaction Measures, which will take effect on July 15, 2026. These measures specifically regulate artificial intelligence services provided within the PRC that offer continuous emotional interaction by simulating human personality traits, cognitive patterns and communication styles. The Anthropomorphic Interaction Measures require service providers to take compliance responsibilities by establishing comprehensive management systems covering algorithm governance, technology ethics, content management, cybersecurity and data protection, personal information protection, risk identification and emergency response, as well as by implementing full lifecycle security management for service deployment, operation, updating and termination. The Anthropomorphic Interaction Measures further require service providers to conduct a security assessment and submit an assessment report to the competent provincial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cyberspace administration under certain circumstances, including (i) the initial launch of anthropomorphic interaction services or the addition of related functionalities, (ii) material changes to such services resulting from the adoption of new technologies or applications, (iii) where there are more than one million registered users or more than 100,000 monthly active users, (iv) the existence of potential risks that may affect national security or the public interest, and (v) other circumstances as prescribed by the PRC cyberspace administration authorities. Where provincial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or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cyberspace administration authorities notify a service provider to conduct a security assessment, the service provider is required to do so in accordance with the relevant requirements. The regulatory authorities may impose corrective actions, ordering rectification within a prescribed period, warnings, fines, functional restrictions, suspension or termination of relevant services, and other regulatory measures for violation of these measures.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We have been advised by our PRC counsel, Kewei Law Firm, that our current practices are in compliance with effective laws and regulations governing algorithm recommendation, deep synthesis and generative AI services in all material aspects as of the date of this annual report. However, since these laws and regulations are evolving rapidly, significant uncertainties still exist with their interpretation and implementation, and the potential impact on our business operations is still substantially uncertain. For a detailed discussion, please see “Item 3. Key Information—D. Risk Factors—Risks Relating to Our Business—Our use of artificial intelligence (AI) or other emerging technologies could adversely impact our business and financial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PRC government authorities have enacted legislation on internet use to protect personal information from any unauthorized disclosure. PRC law does not prohibit internet content provision operators from collecting and analyzing personal information from their users. However, the Administrative Measures on Internet Information Services prohibit an internet content provision operator from insulting or slandering a third party or infringing the lawful rights and interests of a third party.</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Several Provisions on Regulating the Market Order of Internet Information Services, promulgated by the Ministry of Industry and Information Technology and effective in 2012, stipulate that internet content provision operators must not, without user consent, collect user personal information, which is defined as user information that can be used alone or in combination with other information to identify the user, and may not provide any such information to third parties without prior user consent. Internet content provision operators may only collect user personal information necessary to provide their services and must expressly inform the users of the method, content and purpose of the collection and processing of such user personal information. In addition, an internet content provision operator may only use such user personal information for the stated purposes under the internet content provision operator’s scope of service. Internet content provision operators are also required to ensure the proper security of user personal information, and take immediate remedial measures if user personal information is suspected to have been disclosed. If the consequences of any such disclosure are expected to be serious, ICP operators must immediately report the incident to the telecommunications regulatory authority and cooperate with the authorities in their investigations.</w:t>
      </w:r>
    </w:p>
    <w:p>
      <w:pPr>
        <w:spacing w:after="0" w:line="1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December 28, 2012, the Standing Committee of the National People’s Congress issued the Decision on Strengthening the Protection of Online Information. Most requirements under the decision that are relevant to internet content provision operators are consistent with the requirements already established under the Ministry of Industry and Information Technology provisions mentioned above, though often stricter and broader. Under the decision, if an internet content provision operator wishes to collect or use personal electronic information, it must do so in a legal and appropriate manner, and may do so only if it is necessary for the services it provides. It must disclose the purpose, method and scope of any such collection or use, and must seek consent from the relevant individuals. Internet content provision operators are also required to publish their policies relating to information collection and use, must keep such information strictly confidential, and must take technological and other measures to ensure the safety of such information. Internet content provision operators are further prohibited from divulging, distorting or destroying of any such personal electronic information, or selling or proving such information to other parties. The decision also requires that internet content provision operators providing information publishing services must collect from users their personal identification information, for registration. In very broad terms, the decision provides that violators may face warnings, fines, confiscation of illegal gains, license revocations, filing cancellations and website closures.</w:t>
      </w:r>
    </w:p>
    <w:p>
      <w:pPr>
        <w:spacing w:after="0" w:line="1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July 16, 2013, the Ministry of Industry and Information Technology issued the Order for the Protection of Telecommunication and Internet User Personal Information. Most requirements under the order that are applicable to internet content provision operators are consistent with pre-existing requirements but the requirements under the order are often more stringent and have a wider scope. If an internet content provision operator wishes to collect or use personal information, it may do so only if such collection is necessary for the services it provides. Further, it must disclose to its users the purpose, method and scope of any such collection or use, and must obtain consent from its users whose information is being collected or used. Internet content provision operators are also required to establish and publish their rules relating to personal information collection or use, keep any collected information strictly confidential, and take technological and other measures to maintain the security of such information. When a user stops using the internet service, the internet content provision operators are required to cease any collection or use of the user personal information and de-register this user’s account. Internet content provision operators are further prohibited from divulging, distorting or destroying any such personal information, or selling or providing such information unlawfully to other parties. In addition, if an internet content provision operator appoints an agent to undertake any marketing and technical services that involve the collection or use of personal information, the internet content provision operator is still required to supervise and manage the protection of the information. As to penalties, in very broad terms, the order states that violators may face warnings, fines, and disclosure to the public and, in most severe cases, criminal liability.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came into effect on June 1, 2017. The Cyber Security Law imposes certain data protection obligations on network operators, including that network operators may not disclose, tamper with, or damage users’ personal information that they have collected, and are obligated to delete unlawfully collected information and to amend incorrect information. Moreover, internet operators may not provide users’ personal information to others without consent. Exempted from these rules is information irreversibly processed to preclude identification of specific individuals. Also, the Cyber Security Law imposes breach notification requirements that will apply to breaches involving personal information. On January 23, 2019, the Cyberspace Administration of China, the Ministry of Industry and Information Technology, and the Ministry of Public Security, and the State Administration for Market Regulation jointly issued the Notice on Special Governance of Illegal Collection and Use of Personal Information via Apps, which restates the requirement of legal collection and use of personal information, encourages APP operators to conduct security certifications, and encourages search engines and APP stores to clearly mark and recommend those certified APPs. On March 28, 2025, the Cyberspace Administration of China adopted the amendment to the Cyber Security Law, which raises the maximum fine for network operators who fail to fulfill their cybersecurity duties to RMB10 million and introduced new legal liabilities including the legal liability for selling or providing network critical equipment and network security specific products that have not been certified for security. Specifically, where a network operator, in violation of Articles 49 or 52 of the Cyber Security Law, fails to stop the transmission of, remove, or otherwise take necessary measures with respect to information whose publication or transmission is prohibited by laws or administrative regulations, fails to retain relevant records, or fails to report such matters to the competent authorities, the competent authorities may order rectification, issue warnings, circulate notices of criticism, and impose fines ranging from RMB 50,000 to RMB 500,000. Where rectification is refused or the circumstances are serious, higher fines ranging from RMB 500,000 to RMB 2,000,000 may be imposed, and the competent authorities may further order the suspension of relevant business operations, shutdown of websites or applications, or revocation of relevant business permits or business licenses. In addition, the directly responsible persons in charge and other directly responsible personnel may be fined between RMB 50,000 and RMB 200,000. Where the foregoing violations cause particularly serious impact or consequences, fines ranging from RMB 2,000,000 to RMB 10,000,000 may be imposed. The competent authorities may further take the aforesaid administrative measures, and the directly responsible persons in charge and other directly responsible personnel may be fined between RMB 200,000 and RMB 1,000,000. On August 22, 2019, the Cyberspace Administration of China issued the Regulation on Cyber Protection of Children’s Personal Information, effective on October 1, 2019. Network operators are required to establish special policies and user agreements to protect children’s personal information, and to appoint special personnel in charge of protecting children’s personal information. Network operators who collect, use, transfer or disclose personal information of children are required to, in a prominent and clear way, notify and obtain consent from children’s guardians.</w:t>
      </w:r>
    </w:p>
    <w:p>
      <w:pPr>
        <w:spacing w:after="0" w:line="15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November 28, 2019, the Cyberspace Administration of China, the Ministry of Industry and Information Technology, the Ministry of Public Security and State Administration for Market Regulation jointly issued the Measures to Identify Illegal Collection and Usage of Personal Information by APPs, which lists six types of illegal collection and usage of personal information, including “not publishing rules on the collection and usage of personal information” and “not providing privacy rules.”</w:t>
      </w:r>
    </w:p>
    <w:p>
      <w:pPr>
        <w:spacing w:after="0" w:line="14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May 28, 2020, the National People’s Congress adopted the Civil Code of the PRC, effective on January 1, 2021. According to the Civil Code, individuals have the right of privacy. No organization or individual shall process any individual’s private information or infringe on an individual’s right of privacy, unless otherwise prescribed by law or with such individual’s prior express consent. In addition, personal information is protected by the PRC laws. Any processing of personal information shall be subject to the principles of legitimacy, legality and necessity. An information processor must not divulge or falsify the personal information collected and stored by it, or provide the personal information of an individual to others without the consent of such individual.</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Personal Information Protection Law, which took effect on November 1, 2021. The Personal Information Protection Law enhances the protection requirements for processing personal information, and specifies the rules for processing sensitive personal information, which refers to personal information that, once leaked or illegally used, may easily cause harm to the dignity of natural persons or cause harm to the safety of people or property, including information on biometric characteristics, financial accounts, individual location tracking and others, as well as personal information of minors under the age of 14. Personal information processors shall bear responsibility for their personal information processing activities, and adopt necessary measures to safeguard the security of the personal information they process. Failure to comply with the Personal Information Protection Law may subject the personal information processors to orders to correct its operations, suspension or termination of the provision of services, confiscation of illegal income, fines or other penalties. Specifically, where an entity processes personal information in violation of the Personal Information Protection Law, or fails to perform its personal information protection obligations thereunder, the competent authorities may order rectification, issue warnings, confiscate illegal gains, and the suspension or termination of the business. Where rectification is refused, a fine of up to RMB1,000,000 may be imposed and the directly responsible persons in charge and other directly responsible personnel may be fined between RMB10,000 and RMB100,000. Where the foregoing violations are serious, the authorities may order rectification, confiscate illegal gains, and impose a fine of up to RMB50,000,000 or up to 5% of the previous year’s turnover, whichever is higher. The authorities may also order the suspension of relevant business operations or notify the relevant authorities to revoke relevant business licenses. In addition, the directly responsible persons in charge and other directly responsible personnel may be fined between RMB100,000 and RMB1,000,000, and may be prohibited, for a specified period of time, from serving as directors, supervisors, senior management personnel, or persons in charge of personal information protection of the relevant enterprises. On July 7, 2022, the Cyberspace Administration of China promulgated the Outbound Data Transfer Security Assessment Measure, which took effect on September 1, 2022. Pursuant to these measures, a data processor shall apply for security assessment with the competent authority before any outbound data transfer if the transfer involves (i) important data; (ii) personal information transferred overseas by a critical information infrastructure operator and a data processor that has processed personal information of more than one million individuals; (iii) personal information transferred overseas by a data processor who has already provided personal information of 100,000 persons or sensitive personal information of 10,000 persons overseas since January 1 of the previous year; or (iv) other circumstances as requested by the Cyberspace Administration of China. Furthermore, on August 31, 2022, the Cyberspace Administration of China promulgated the Guidelines for filing the Outbound Data Transfer Security Assessment (Version 1), which provides that acts of outbound data transfer include (i) overseas transmission and storage by data processors of data generated during mainland China domestic operations; (ii) the access to, use, download or export of the data collected and generated by data processors and stored in mainland China by overseas institutions, organizations or individuals; and (iii) other acts as specified by the Cyberspace Administration of China.</w:t>
      </w:r>
    </w:p>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February 22, 2023, the Cyberspace Administration of China promulgated the Personal Information Outbound Transfer Standard Contract Measures, with effect from June 1, 2023. These measures apply to the provision of personal information to any overseas recipient by a personal information processor through executing standard contract for personal information outbound transfer with such overseas recipient. The personal information processor who provides personal information to any overseas recipient through standard contract shall meet the following criteria: (i) it is not a critical information infrastructure operator; (ii) it handles personal information of less than one million individuals; (iii) it provided personal information of less than 100,000 individuals in aggregate to overseas recipients since January 1 of the previous year; and (iv) it provided sensitive personal information of less than 10,000 individuals in aggregate to any overseas recipients since January 1 of the previous year. These measures also require a personal information processor to conduct a personal information protection impact assessment before providing any personal information to an overseas recipient and complete the filing with local cybersecurity authority within 10 working days from the effective date of the standard contract.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2024, the Cyberspace Administration of China issued the Provisions on Promoting and Regulating Cross-border Data Flows, which required following types of cross-border data transfers to go through security assessments, (i) for critical information infrastructure operators, the outbound transfer of personal information or important data, and (ii) for data processors that are not critical information infrastructure operators, the outbound transfer of important data or the outbound transfer of personal information of over one million people or sensitive personal information of over 10,000 people in aggregate since January 1 of the relevant year. Furthermore, when data processors that are not critical information infrastructure operators engage in the outbound transfer of the personal information of over 10,000 people but less than one million people or the sensitive personal information of less than 10,000 people within one calendar year, the data processors must enter into a standard contract for cross-border transfer of personal information with the data recipient or obtain a certification for the protection of personal information. These provisions clarified that data processors do not need to treat any data as “important data” the outbound transfer of which requires security assessments if government authorities have not declared or notified them that the data are “important data.” Data processors are exempt from applying for data export security assessment, entering into personal information export standard contracts or passing personal information protection certification with respect to (i) the outbound transfer of data collected and generated during international trade, cross-border transportation, academic cooperation, transnational production and manufacturing, and marketing activities that do not include personal information or important data, and (ii) the personal information collected and generated abroad by data processors, which is then transmitted to domestic locations for processing before being transferred outbound and does not involve the introduction of domestic personal information or important data during the processing. The free trade pilot zones may independently formulate a list of data that requires data export security assessment, personal information export standard contracts, and personal information protection certification management.</w:t>
      </w:r>
    </w:p>
    <w:p>
      <w:pPr>
        <w:spacing w:after="0" w:line="16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February 14, 2025, the Cyberspace Administration of China promulgated the Personal Information Protection Compliance Audit Management Measures with effect from May 1, 2025, which requires personal information processors processing data of over 10 million individuals to conduct personal information protection compliance audits at least once every two years. In addition, personal information processors processing the personal information of over 1 million individuals shall designate a personal information protection officer in charge of the compliance audit. The personal information processors providing important internet platform services, having large number of users and complicated business model, shall establish an independent body mainly composed of external members to oversee the status of personal information protection compliance audit.</w:t>
      </w:r>
    </w:p>
    <w:p>
      <w:pPr>
        <w:spacing w:after="0" w:line="1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To comply with these laws and regulations, we require our users to accept terms of services under which they agree to provide certain personal information to us, to have established information security systems protect user privacy and to have such information filed with the Ministry of Industry and Information Technology or its local branch as required. If Weimeng, which is an internet content provision operator, violates PRC laws in this regard, the Ministry of Industry and Information Technology or its local bureau may impose penalties and Weimeng may be liable for damages caused to their users. See “Item 3. Key Information—D. Risk Factors—Risks Relating to Our Business—Privacy concerns relating to our products and services and the use of user information could damage our reputation, deter current and potential users and customers from using Weibo and negatively impact our business.”</w:t>
      </w:r>
    </w:p>
    <w:p>
      <w:pPr>
        <w:spacing w:after="0" w:line="14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May 25, 2018, General Data Protection Regulation was promulgated for the protection of natural persons with regard to the processing of personal data and the free movement of such data. These regulations apply directly in all European Union member states from May 25, 2018 and apply to companies with an establishment in the European Economic Area, and to certain other companies not in the European Economic Area that offer or provide goods or services to individuals located in the European Economic Area or monitor individuals located in the European Economic Area. These regulations implement more stringent operational requirements for controllers of personal data, including, for example, expanded disclosures about how personal information is to be used, limitations on retention of information and pseudonymized data, increased cyber security requirements, mandatory data breach notification requirements and higher standards for controllers to demonstrate that they have obtained a valid legal basis for certain data processing activities.</w:t>
      </w:r>
    </w:p>
    <w:p>
      <w:pPr>
        <w:spacing w:after="0" w:line="14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activities of data processors will be regulated for the first time, and companies undertaking processing activities are required to offer certain guarantees in relation to the security of such processing and the handling of personal data. Contracts with data processors will also need to be updated to include certain terms prescribed by the General Data Protection Regulation, and negotiating such updates may not be fully successful in all cases. Failure to comply with laws of the European Union, including failure under the General Data Protection Regulation and other laws relating to the security of personal data may result in fines up to €20,000,000 or up to 4% of the total worldwide annual turnover of the preceding financial year, if greater, and other administrative penalties including criminal liability.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Anti-Monopoly and Anti-Unfair Competition</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2, 1993, the Standing Committee of the National People’s Congress adopted the Anti-Unfair Competition Law of the PRC, which took effect on December 1, 1993, and was amended on April 23, 2019. According to the Anti-Unfair Competition Law, unfair competition refers to that the operator disrupts the market competition order and damages the legitimate rights and interests of other operators or consumers in violation of the provisions of the Anti-Unfair Competition Law in the production and operating activities. Operators shall abide by the principle of voluntariness, equality, impartiality, integrity and adhere to laws and business ethics during market transactions. Operators in violation of the Anti-unfair Competition Law shall bear corresponding civil, administrative or criminal liabilities depending on the specific circumstances. On June 27, 2025, the Standing Committee of the National People’s Congress adopted the amendment to the Anti-unfair Competition Law with effect from October 15, 2025, to strengthen the supervision on unfair competition in cyberspace. Specifically, the amendment provides that operators shall not use data, algorithms, technology or platform rules to disrupt or impede the network products or services provided by other operators. It is also not allowed to obtain and use data from other operators through fraudulent, coercive, or electronic intrusion methods.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11, 2020, the Anti-Monopoly Commission of the State Council issued Anti-Monopoly Compliance Guideline for Operators, which requires operators to establish anti-monopoly compliance management systems under the PRC Anti-Monopoly Law to manage anti-monopoly compliance risks.</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published Anti-Monopoly Guidelines for the Internet Platform Economy Sector that specified circumstances where an activity of an internet platform will be identified as monopolistic act as well as concentration filing procedures for business operators, including those involving variable interest entities.</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24, 2021, the National Development and Reform Commission together with other eight governmental authorities jointly issued the Opinions on Promoting the Healthy and Sustainable Development of the Platform Economy, which provides that monopolistic agreements, abuse of market dominant position and illegal concentration of business operators in the platform economy will be strictly investigated and punished in accordance with the laws.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amended the PRC Anti-Monopoly Law, which came into effect on August 1, 2022. This law increases fines for illegal business concentration to a maximum of 10% of the operator’s previous year’s sales revenue if the concentration has the potential to exclude or limit competition. The fine could be up to RMB5 million if the concentration has no effect of excluding or limiting competition. This law also mandates that the PRC authorities can order operators to report concentration, even below the filing threshold, if there is evidence of potential anti-competitive harm.</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10, 2023, the State Administration for Market Regulation issued four implementing rules to provide further clarity on the new Anti-Monopoly Law. These rules include provisions for curbing abuse of administrative power, prohibiting monopoly agreements, preventing abuse of market dominance, and reviewing undertakings’ concentration.</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22, 2024, the State of Council promulgated the amended Provisions of the State Council on Thresholds for Prior Notification of Concentration of Undertakings, which took effect upon release. Any transaction that satisfies either of the following standards must be filed with the anti-monopoly law enforcement agency under the State Council before its consummation: (i) during the previous fiscal year, the total worldwide turnover of all undertaking participants exceeded RMB12 billion and at least two of these participants each had a turnover of more than RMB800 million within China, or (ii) during the previous fiscal year, the total turnover within China of all undertaking participants exceeded RMB4 billion and at least two of these participants had a turnover of more than RMB800 million within China.</w:t>
      </w:r>
    </w:p>
    <w:p>
      <w:pPr>
        <w:spacing w:after="0" w:line="1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May 6, 2024, the SAMR issued the Interim Measures on Online Anti-unfair Competition, which came into effect on September 1, 2024. These measures have improved the standards and regulatory requirements for various types of online unfair competition behaviors, including the new manifestations of traditional unfair competition behaviors such as counterfeiting, confusion and false advertising, and the new types of unfair competition behaviors conducted through technological means such as reverse bidding manipulation and illegal data acquisition. Regarding platform operators, these measures highlight the platform operators’ responsibilities and require platforms operators to strengthen the management of competition behavior within the platform. Necessary measures should be taken to deal with unfair competition behavior within the platform, relevant records should be kept, and timely reports should be made to the market supervision authorities. In addition, these measures prohibit platforms from abusing their competitive advantages to obstruct the normal operation of network products or services of other operators, using service agreements or transaction rules to unreasonably restrict the transactions of operators within the platform, or charging unreasonable service fees to operators within the platform. If a platform operator fails to comply with the requirements of these measures, it may be subject to administrative penalties including rectification orders, fines and orders to suspend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On December 9, 2025, the State Administration for Market Regulation adopted the amendment to the Provisions on the Prohibition of Monopoly Agreements with effect from February 1, 2026. The amendments clarify the “safe harbor” thresholds for vertical agreements, namely, 5% market share and RMB 100 million turnover for resale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maintenance agreements, and 15% market share for other vertical agreements.</w:t>
      </w:r>
    </w:p>
    <w:p>
      <w:pPr>
        <w:spacing w:after="0" w:line="201" w:lineRule="exact"/>
        <w:rPr>
          <w:sz w:val="20"/>
          <w:szCs w:val="20"/>
          <w:color w:val="auto"/>
        </w:rPr>
      </w:pPr>
    </w:p>
    <w:p>
      <w:pPr>
        <w:jc w:val="both"/>
        <w:ind w:right="20" w:firstLine="648"/>
        <w:spacing w:after="0" w:line="220" w:lineRule="exact"/>
        <w:rPr>
          <w:sz w:val="20"/>
          <w:szCs w:val="20"/>
          <w:color w:val="auto"/>
        </w:rPr>
      </w:pPr>
      <w:r>
        <w:rPr>
          <w:rFonts w:ascii="Times New Roman" w:cs="Times New Roman" w:eastAsia="Times New Roman" w:hAnsi="Times New Roman"/>
          <w:sz w:val="18"/>
          <w:szCs w:val="18"/>
          <w:color w:val="auto"/>
        </w:rPr>
        <w:t>On January 28, 2026, the State Administration for Market Regulation released the Antitrust Compliance Guidelines for Internet Platform Operators, which took effect on the same day. These guidelines provide the compliance guidance for internet platform operators on identifying, preventing and managing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monopoly risks in platform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operations, including risks such as algorithmic collusion, exclusive dealing and discriminatory treatment.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2021 and 2022, the State Administration for Market Regulation issued three administrative penalties on Weimeng Chuangke regarding alleged illegal concentration of business operators under the Anti-Monopoly Law, each of which resulted in a fine of RMB500,000 for concentration of business operators without prior filing pursuant to the Anti-Monopoly Law. Weimeng Chuangke has timely paid the fines as required. See “Item 3. Key Information—D. Risk Factors—Risks Relating to Doing Business in China—Any failure or perceived failure by us to comply with the Anti-Monopoly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Finance</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2015, ten PRC regulatory agencies, including the People’s Bank of China, the Ministry of Industry and Information Technology and the China Banking Regulatory Commission, which was re-organized into the China Banking and Insurance Regulatory Commission in March 2018, jointly issued the Guidelines on Promoting the Healthy Development of Internet Finance. These guidelines call for active government support for China’s internet finance industry, including the online peer-to-peer lending service industry, and clarify the division of responsibility among regulatory agencies. These guidelines specify that the China Banking and Insurance Regulatory Commission will have primary regulatory responsibility for the online peer-to-peer lending service industry in China and state that online peer-to-peer lending service providers shall act as an intermediary platform to provide information exchange, matching, credit assessment and other intermediary services, and must not provide credit enhancement services and/or engage in illegal fund-raising. These guidelines provide additional requirements for China’s internet finance industry, including the use of custodial accounts with qualified banks to hold customer funds as well as information disclosure requirements.</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August 2016, four PRC regulatory agencies, including the China Banking and Insurance Regulatory Commission, the Ministry of Industry and Information Technology, the Ministry of Public Security and Cyberspace Administration of China, published the Interim Measures for the Administration of Business Activities of Online Lending Information Intermediaries. These measures define online lending intermediaries as the financial information intermediaries that are engaged in online peer-to-peer lending information business and provide lenders and borrowers with lending information services, such as information collection and publication, credit rating, information interaction and loan facilitation. Consistent with the Guidelines, these measures prohibit online lending intermediaries from providing credit enhancement services and collecting funds directly or indirectly, and require that (i) online lending intermediaries intending to provide online lending information agency services, and their subsidiaries and branches, must make record-filing with local financial regulatory authorities with which they are registered after obtaining the business license; (ii) online lending intermediaries operating telecommunication services must apply for necessary telecommunication service licenses after the completion of the record-filing and registration with the local financial regulatory authority; and (iii) online lending intermediaries must materially specify the online lending information intermediary in their business scopes.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2016, the China Banking and Insurance Regulatory Commission, the Ministry of Industry and Information Technology and the SAIC jointly published the Guidelines on the Administration of Record-filings of Online Lending Information Intermediary Agencies to establish and improve the record-filing mechanisms for online lending intermediaries. According to these guidelines, a newly established online lending intermediary shall make the record-filings with the local financial regulatory authority after obtaining the business license; while with respect to any online lending intermediary which is established and begins to conduct the business prior to the publication of these guidelines, the local financial regulatory authority shall, pursuant to the arrangement of specific rectification work for risks in online peer-to-peer lending, accept the application for record-filings submitted by a qualified online lending intermediary, or any online lending intermediary which has completed the rectification confirmed by the authorities.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2017, the General Office of the China Banking and Insurance Regulatory Commission released the Guidelines on Information Disclosure of Business Activities of Online Lending Information Intermediaries. These disclosure guidelines emphasize the information disclosure requirement by an online lending intermediary and further, stipulate the details of the frequency and scope of such information disclosure. Any violation of the information disclosure guidelines by an online lending intermediary may subject it to certain penalties under the Administration of Business Activities of Online Lending Information Intermediaries. In addition, the information disclosure guidelines require online lending intermediaries that do not fully comply with the information disclosure guidelines in conducting their business to rectify within six months after the release of the information disclosure guidelines.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March 28, 2018, the Office of the Leading Group for the Special Rectification of Internet Financial Risks issued the Notice on Strengthening the Remediation of Asset Management Business through the Internet and Carrying out Acceptance Work. Under this notice, asset management companies that have obtained the qualification for sales of asset management products shall only engage in public fund-raising from the sales of asset management products, and shall not participate in the “targeted entrustment plan,” “targeted financing plan,” “financial management plan,” “asset management plan,” or “transfer of income rights,” relying on the internet to issue and sell asset management products for public fund-raising without permission.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2019, the Beijing Internet Finance Industry Association issued a Notice on the Launch of the Citywide Inspection Action and the Risk Reminder Letter on the Enterprises Providing Diversion Services to Non-Licensed Lending Institutions. This notice and letter summarized the findings of this association’s investigation into the online “Cash Loan” business. It was discovered that numerous internet and social media platforms, not licensed as lending institutions, engaged in unlicensed “Cash Loan” or “Excess-interest Loan” business via diversion practices undertaken in cooperation with licensed lenders. The Beijing internet Finance Industry Association ordered non-compliant enterprises to terminate all the selling of non-compliant “Cash Loan” products provided by associated institutions immediately and keep record of all historical data in that connection.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7, 2020, the Notice of General Office of the China Banking and Insurance Regulatory Commission on Strengthening the Supervision and Administration of Microlending Companies was promulgated. Under this regulation, lending entities should adhere to the principle of petty sum and decentralization. Following such principle, microlending companies shall reasonably determine the amount and term of loans based on the income level, overall liabilities, asset status, actual needs and other factors of borrowers, so as to ensure that the repayment amount of the borrowers does not exceed their repayment capacity. The balance of the loans provided by a microlending company to the same borrower shall not exceed 10% of the company’s net assets; and the balance of the loans provided by a microlending company to the same borrower and its affiliated parties shall not exceed 15% of the company’s net assets. Local financial regulatory authorities may, in light of regulatory needs, lower the maximum balance of the aforesaid loans.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29, 2020, the Reply by Supreme People’s Court to Issues Concerning the Scope of Application of the New Judicial Interpretation on Private Lending was issued. Pursuant to this interpretation, seven types of local financial organizations are considered to be “financial institutions established upon approval by financial regulatory authorities,” which included, including loan companies, financing guarantee companies, regional equity markets, pawnshops, financing lease companies, commercial factoring companies and local asset management companies under the regulation of local financial regulatory authorities. The new judicial interpretation on private lending is not applicable to the institution mentioned above in respect of disputes arising from their engagement in the financial businesses.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19, 2021, the Notice of General Office of the China Banking and Insurance Regulatory Commission on Further Regulating the Internet Lending Business of Commercial Banks was issued. Under this regulation, if a commercial bank and a cooperative agency jointly contribute to the issuance of internet loans, (i) management requirements for the range of capital contribution proportion shall be strictly implemented, (ii) the capital contribution proportion of the cooperative party in a single loan shall not be less than 30%, and (iii) the bank’s balance of loans granted with a single cooperative party (including its affiliated parties) shall not exceed 25% of the net tier 1 capital of the bank. The balance of internet loans jointly issued by a commercial bank and a cooperative agency shall not exceed 50% of the bank’s balance of total loans granted by the bank. Also, this regulation imposes strict control over cross-regional operations. A local corporate bank that engages in internet lending business shall provide services for local clients and shall not carry out internet lending business beyond the jurisdiction of its registration place. However, a corporate bank that has no physical business outlets, mainly carries out its business online, and meets other conditions prescribed by the China Banking and Insurance Regulatory Commission is excluded.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12, 2021, the People’s Bank of China issued the Announcement of the People’s Bank of China [2021] No. 3. Under this announcement, all loan products shall explicitly indicate their annualized loan interest rate by displaying to the borrower in a conspicuous manner when marketing it through any website, mobile application, poster or any other channel, as well as state such annualized interest rate in the loan contract executed, and all loan products may also have information such as the daily interest rate or the monthly interest rate displayed at the same time; provided that it is not in a manner more conspicuous than the annualized interest rate.</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13, 2021, the China Banking and Insurance Regulatory Commission and the People’s Bank of China issued the Circular of the General Office of the China Banking and Insurance Regulatory Commission and the General Office of the People’s Bank of China on Matters Relating to Regulating the Personal Deposit Business Conducted by Commercial Banks through the internet. Under such circular, commercial banks are prohibited to conduct time deposit or time-demand optional deposit business through any non-self-operating online platform, including, but not limited to, providing such services as marketing publicity, product display, information transmission, purchase access, and interest subsidy through a non-self-operated online platform.</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27, 2021, the People’s Bank of China issued the Credit Reporting Measures, which took effect on January 1, 2022. The Credit Reporting Measures prohibit financial institutions from carrying out commercial cooperation with market institutions that have not obtained the qualifications for credit reporting business in accessing credit information.</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comply with these laws and regulations on internet finance service, we have made necessary adjustments to the services available through Weibo wallet from time to time over the past several years. See “Item 3. Key Information—D. Risk Factors—Risks Relating to Our Business—We may face certain risks related to financial products available on our Weibo wallet.”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Game Operations and Cultural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Cultural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Provisional Regulations for the Administration of Online Culture, issued by the Ministry of Culture in 2003 and further revised in 2004, 2011 and 2017, apply to entities engaging in activities related to “internet cultural products,” which include cultural products that are produced specifically for internet use, such as online music and entertainment, online games, online plays, online performances, online works of art and Web animation, and other online cultural products that through technical means, produce or reproduce music, entertainment, games, plays and other art works for internet dissemination. According to these Regulations, commercial entities are required to apply to the local branch of the Ministry of Culture for an Online Culture Operating Permit if they engage in the production, duplication, importation, release or broadcasting of internet cultural products; the dissemination of online cultural products on the internet or the transmission of such products via internet or mobile phone networks to user terminals, such as computers, phones, television sets and gaming consoles, or internet surfing service sites such as internet cafes; or the holding or exhibition of contests related to internet cultural products.</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Measures for Content Self-review by Internet Culture Business Entities, which were issued by the Ministry of Culture on August 12, 2013, and took effect on December 1, 2013, require internet culture business entities to review the content of products and services before providing them to the public. The content management system of an internet culture business entity is required to specify the responsibilities, standards and processes for content review as well as accountability measures, and is required be filed with the local provincial branch of the Ministry of Culture.</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Weimeng currently holds an Online Culture Operating License issued by the Beijing Municipal Bureau of Culture and Tourism on January 2, 2024 and valid through December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Publication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Rules for the Administration of Electronic Publications, which were issued by the General Administration of Press and Publication in 2008 and further amended in 2015, regulate the production, publishing and importation of electronic publications in the PRC and outline a licensing system for business operations involving electronic publishing. Under these rules and other regulations issued by the General Administration of Press and Publication, online games are classified as a type of electronic production and publishing of online games is required to be done by licensed electronic publishing entities with standard publication codes. If a PRC company is contractually authorized to publish foreign electronic publications, it must obtain the approval of, and register the copyright license contract with, the State Administration for Press, Publication, Radio, Film and Television, which was formed when the General Administration of Press and Publication was combined with the State Administration for Radio, Film and Television in March 2013.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Provisions on Online Publishing Services, which were jointly issued by the Ministry of Industry and Information Technology and the State General Administration of Press, Publication, Radio, Film and Television in 2016, and took effect on March 10, 2016. These provisions define “online publishing services” as providing online publications to the public through information networks. Any online publishing services provided in the territory of the PRC is subject to these provisions. Any internet publishing services provider is required to obtain an online publishing service license to engage in online publishing services. Online publications refer to digital works which have publishing features such as having been edited, produced or processed and which are made available to the public through information networks, including written works, pictures, maps, games, cartoons, audio/video reading materials and others. Any online game shall obtain approval from the regulator before it is launched online. According to the negative list, foreign investment is prohibited from entering into the publishing service industry.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Weimeng has been communicating with the government authority for the application of an internet publishing permit.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Games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Notice Regarding the Consistent Implementation of the “Stipulations on ‘Three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 also known as Circular 13, was jointly published by the General Administration of Press and Publication, the National Copyright Administration and the National Office of Combating Pornography and Illegal Publications in 2009. Circular 13 expressly states that foreign investors are not permitted to participate in the operation of online games via wholly owned, equity joint venture or cooperative joint venture investments in China, and from controlling and participating in such businesses directly or indirectly through contractual or technical support arrangements. In addition, according to Circular 13, the approval of the General Administration of Press and Publication is required for publishing any imported online games. Although Circular 13 was issued several years ago, it is not yet clear what impact, if any, it will have on the operation of online games in China.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Interim Administrative Measures for Internet Games, issued by the Ministry of Culture on June 3, 2010 and last amended on December 15, 2017, any entity engaging in online game operations must obtain an Online Culture Operating License. On July 10, 2019, this measure was abolished by the Ministry of Culture and Tourism. As a result, the Ministry of Culture and Tourism is no longer responsible for regulating the online game industry in China and has ceased to grant or renew any Online Culture Operating License relating to game operations. The issued Online Culture Operating License relating to game operations, however, will remain valid until each of their original expiration dates.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30, 2021, the National Press and Publication Administration issued the Notice on Further Strict Management to Prevent Minors from Indulging in Online Games, which requires all online game operators to provide services to minors only on any Friday, Saturday, Sunday and statutory holidays from 8:00 p.m. to 9:00 p.m., i.e., for one hour, and not to provide online games in any form to users who have not registered or logged in with their real names. In addition to the real-name registration system already in place, we have adjusted the systems in the games that we operated to comply with the requirements under this notice.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22, 2023, the National Press and Publication Administration promulgated the Administrative Measures for Internet Games (Draft for Comment), which provide that the national publishing regulatory authority oversees online game publishing activities nationwide while local authorities at county level and above are responsible for supervision within their respective administrative regions. Online games should set spending limits and ban daily log-in rewards according to these draft measures. These draft measures also propose to ban large tips for rewards to players who livestream their games and prohibits online games from offering probability-based luck draw features to minors. As of the date of this annual report, these draft measures have not been formally adopted.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ensure compliance with these laws and regulations, we have adopted our anti-fatigue and real name registration systems.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Currency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Notice on the Reinforcement of the Administration of Internet Cafes and Online Games, jointly issued by the Ministry of Culture, the People’s Bank of China and other government authorities in 2007, directs the People’s Bank of China to strengthen the administration of virtual currency in online games to avoid any adverse impact on the real economic and financial systems. This notice provides that the total amount of virtual currency issued by online game operators and the amount purchased by individual users should be strictly limited, with a strict and clear division between virtual transactions and real e-commerce transactions. This notice also provides that virtual currency should only be used to purchase virtual items.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22, 2023, the National Press and Publication Administration promulgated the Administrative Measures for Internet Games (Draft for Comment), which stipulated that (i) in-game currency shall be used only for exchanging in-game products and services provided by the operator, and shall not be used to pay for or purchase physical objects or exchange products and services of other entities; (ii) online game publishers shall not exchange the virtual items of online games obtained by users into legal tender; and</w:t>
      </w:r>
    </w:p>
    <w:p>
      <w:pPr>
        <w:spacing w:after="0" w:line="3" w:lineRule="exact"/>
        <w:rPr>
          <w:sz w:val="20"/>
          <w:szCs w:val="20"/>
          <w:color w:val="auto"/>
        </w:rPr>
      </w:pPr>
    </w:p>
    <w:p>
      <w:pPr>
        <w:ind w:firstLine="8"/>
        <w:spacing w:after="0" w:line="260" w:lineRule="auto"/>
        <w:tabs>
          <w:tab w:leader="none" w:pos="3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online game virtual items can be exchanged for small-value physical objects, the contents and value of such physical objects shall comply with the national laws and regulations. As of the date of this annual report, this draft has not been formally adopted.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Protection of Minors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2007, the General Administration of Press and Publication and several other governmental authorities issued a circular requiring the implementation of an “anti-fatigue system” and a real-name registration system by all PRC online game operators, in an effort to curb addictive online game play behaviors of minors. Under the anti-fatigue system, three hours or less of continuous play by minors is considered to be “healthy,” three to five hours to be “fatiguing,” and five hours or more to be “unhealthy.” Game operators are required to reduce the value of in-game benefits to a game player by half if the game player has reached “fatiguing” level, and to zero in the case of “unhealthy” level.</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Notice on Initializing the Verification of Real-name Registration for Anti-Fatigue System on Internet Games, issued by the General Administration of Press and Publication, the Ministry of Industry and Information Technology, the Ministry of Education and five other governmental authorities in 2011, imposes stringent penalties on online game operators that do not implement the required anti-fatigue and real-name registration measures properly and effectively. Its main focus is to prevent minors from using an adult ID to play internet games. The operation of an online game may be terminated if the operator is found to be in violation of this notice.</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Implementation of Online Game Monitoring System of the Guardians of Minors, a circular jointly issued by the Ministry of Culture, the Ministry of Industry and Information Technology and six other central government authorities in 2011, aimed to provide specific protective measures to monitor the online game activities of minors and curb addictive online game play behavior by minors. Under this circular, online game operators are required to adopt various measures to maintain a system to communicate with the parents or other guardians of minors playing online games and online game operators are required to monitor the online game activities of minors, and must suspend the account of a minor if so requested by the minor’s parents or guardians. The monitoring system was formally implemented on March 1, 2011.</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Work Plan for the Integrated Prevention of Minors’ Online Game Addiction, jointly issued by the General Administration of Press and Publication, the Ministry of Education, the Ministry of Culture, the Ministry of Industry and Information Technology and 11 other PRC government authorities on February 5, 2013, implemented integrated measures by different authorities to prevent minors from becoming addicted to online games. Under the work plan, the current regulations regarding online games will be further clarified and additional implementation rules will be issued, and as a result, online game operators will be required to implement additional measures to protect minors.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25, 2019, the General Administration of Press and Publication issued the Notice on Preventing Minor’s Addiction to Online Games, which requires all online game players to register accounts with their valid identity information and all game companies to stop providing game services to users who fail to do so. Furthermore, minors are prohibited from playing games exceeding a certain period of time per day or putting money into their accounts exceeding a certain amount.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April 26, 2024, the Standing Committee of the National People’s Congress promulgated the further revised Law of the PRC on the Protection of Minors, which includes a series of provisions to protect minors’ interests on the internet under the section “Online Protections,” including (i) online product and service providers are prohibited from providing minors with products and services that would induce minors to indulge, (ii) online service providers for products and services such as gaming, live streaming, audio-video, and social networking are required to establish special management systems of user duration, access authority and consumption for minors,</w:t>
      </w:r>
    </w:p>
    <w:p>
      <w:pPr>
        <w:spacing w:after="0" w:line="2" w:lineRule="exact"/>
        <w:rPr>
          <w:sz w:val="20"/>
          <w:szCs w:val="20"/>
          <w:color w:val="auto"/>
        </w:rPr>
      </w:pPr>
    </w:p>
    <w:p>
      <w:pPr>
        <w:jc w:val="both"/>
        <w:ind w:firstLine="8"/>
        <w:spacing w:after="0" w:line="250" w:lineRule="auto"/>
        <w:tabs>
          <w:tab w:leader="none" w:pos="32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gaming service providers must request minors to register and log into online games with their valid identity information, (iv) online gaming service providers must categorize games according to the PRC rules and standards, notify users about the appropriate ages for the players of the games, and take technical measures to keep minors from accessing inappropriate games or gaming functions,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gaming service providers may not provide online game services to minors from 10:00 p.m. to 8:00 a.m. the next day.</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May 7, 2022, the Cyberspace Administration of China, together with three other authorities, jointly issued the Opinions on Regulating Live Streaming Rewards and Strengthening Minor Protections, which stipulate the requirements for live streaming platforms in respect of strengthening real-name registration, prohibiting minors from virtual gifting and restrictions on providing live streamer services to minors. Pursuant to these opinions, online platforms are not allowed to rank, introduce or recommend any live streaming performers solely by the monetary value of virtual gifts that they have received from users, or to rank users based on the monetary value of virtual gifts that they have sent to live streaming performers. Online platforms shall procure that, during the peak hours (from 8.00 p.m. to 10.00 p.m.) every day, no live streaming performer shall engage in “PKs” (i.e., a real-time interactive competitive game between two performers) against another performer for more than twice.</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2023, the National Press and Publication Administration issued the Administrative Measures for Internet Games (Draft for Comment), which provided detailed regulations for the protection of minors in online gaming operations. These rules include, but are not limited to: (i) strict control over the duration and time minors spend playing online games, (ii) prohibition of minors from accessing games that may easily lead to addiction or contain inappropriate content for minors, and (iii) prohibition of the provision of certain services to minors, such as account rental and sale, in-game currency and virtual item trading, game boosting or game levelling services, and probability-based luck draw features. As of the date of this annual report, the draft has not been formally adopted.</w:t>
      </w:r>
    </w:p>
    <w:p>
      <w:pPr>
        <w:spacing w:after="0" w:line="1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September 20, 2023, the State Council promulgated the Regulation on the Protection of Minors in Cyberspace, effective on January 1, 2024. These measures impose additional obligations on network platform service providers who have significant number of minor users or significant impact on the minor population. For example, these service providers are required to (i) consider the characteristics of the physical and mental development of minors when designing, researching, developing and operating network platform services and regularly assess the impact of the protection of minors in cyberspace, (ii) set up a special mode or zone for minors that allows minors to access products or services beneficial for their physical and mental well-being, and (iii) form an independent body primarily composed of external members to supervise the protection of minors in the cyberspace. Network services providers who provide the services of information publishing and instant messaging to minors shall require the minors or their guardians to provide the minors’ identity information in accordance with laws. Online games, live-streaming, online audio and video, social networking and other network service providers should set reasonable limitations on the amount minors at different ages can spend per transaction and per day in total in the use of their services and should not provide paid services to minors incompatible with their civil capacity. The personal information processor shall conduct a compliance audit on its compliance with laws and administrative regulations regarding the processing of personal information of minors every year, and promptly report the audit results to the regulatory authorities.</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12, 2024, the Cyberspace Administration of China, The Ministry of Public Security, the Ministry of Culture and Tourism, the State Administration of Radio and Television jointly issued the Provisions on the Governance of Cyberviolence Information, which took effect on August 1, 2024. The provisions require that network information service providers should prioritize handling complaints and reports related to cyberviolence information involving minors. Upon discovering risks of cyberviolence information that infringe upon the legitimate rights and interests of minor users, they must promptly take measures in accordance with laws, regulations, and these provisions, provide appropriate protection and assistance services, and report to relevant authorities. In addition, network information service providers must establish functions and channels that facilitate minors and their guardians in exercising their rights to request the deletion of cyberviolence information. Upon receiving such notifications, they must promptly take necessary measures such as deletion, blocking, or disconnecting links to prevent the spread of the violence information.</w:t>
      </w:r>
    </w:p>
    <w:p>
      <w:pPr>
        <w:spacing w:after="0" w:line="1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2025, eight government authorities including the Cyberspace Administration of China jointly issued the Measures for the Classification of Online Information That May Affect the Physical and Mental Health of Minors, with effect from March 1, 2026. The measures impose a series of obligations on platforms, including, among others, that organizations and individuals that produce, reproduce, publish, or disseminate information that may affect the physical and mental health of minors shall provide a prominent and clear warning before the display of the information. In response to these requirements, we have been improving functionality of our products and will provide appropriate warnings prior to the display of relevant information.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On February 11, 2026, eight government authorities including the Cyberspace Administration of China jointly issued the Measures for Identifying Online Platform Service Providers with a Large Number of Minor Users or Significant Influence on Minors, effective from April 1, 2026. The measures set out criteria and procedures for designating platforms that either host more than ten million registered minor users or one million monthly active minor users, or otherwise exert significant influence on minors based on usage patterns, content coverage, commercial scale, industry relevance, or past compliance issues. Designated platforms are required to proactively apply for identification, conduct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assessments, submit reports when requested, and comply with ongoing regulatory oversight. As of the date of this annual report, we have not received any notification from the competent authorities identifying Weibo as such platform service provider.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Broadcasting Audio/Video Programs through the Internet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December 20, 2007, the State Administration for Radio, Film and Television and the Ministry of Industry and Information Technology jointly issued the Rules for the Administration of Internet Audio and Video Program Services, commonly known as Circular 56, which came into effect as of January 31, 2008 and was later amended in 2015. Circular 56 reiterates the requirement set forth in the earlier rules that online audio/video service providers must obtain an internet audio/video program transmission license from the State Administration for Radio, Film and Television. Furthermore, Circular 56 requires all online audio/video service providers to be either wholly state-owned or state-controlled companies. According to official answers to press questions published on the website of State Administration for Radio, Film and Television on February 3, 2008, officials from the State Administration for Radio, Film and Television and the Ministry of Industry and Information Technology clarified that online audio/video service providers that already had been operating lawfully prior to the issuance of Circular 56 may re-register and continue to operate without becoming state-owned or controlled;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providers have not engaged in any unlawful activities. This exemption will not be granted to online audio/video service providers established after Circular 56 was issued. These policies have been reflected in the Application Procedure for Audio/Video Program Transmission License. Failure to obtain the internet audio/video program transmission license may subject an online audio/video service provider to various penalties, including fines of up to RMB30,000, seizure of related equipment and servers used primarily for such activities and even suspension of its online audio/video services.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16, 2016, the State Administration of Press, Publication, Radio, Film and Television of the PRC issued the Rules for the Administration of Video and Audio Programs on Weibo, WeChat and other Social Media Platforms. This circular requires that any organizations that provide online streaming through social media platforms such as Weibo or WeChat should obtain an internet audio/video program transmission license. For organizations and individuals that do not hold license, the hosting social networking platform shall be responsible for supervising the content of the posted programs, and the scope of the programs must not exceed the scope stated on the platform’s audio/video program transmission license. Similarly, film and TV dramas broadcasted through social media are required to obtain a license for public airing, and social media platforms are not allowed to repost user-generated video or audio programs featuring political news.</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18, 2019, the Cyberspace Administration of China, the Ministry of Culture and Tourism and the National Radio and Television Administration, jointly issued the Administrative Provisions on Online Audio-Visual Information Services, effective from January 1, 2020, which provides that online audio-visual information service providers are the principals responsible for information content security management, and should establish and improve their internal policies in relation to user registration, scrutiny of information publication, and information safety management. Organizations and individuals are prohibited from using online audio-visual information services and related information technology to carry out illegal activities and infringe legal rights and interests of others. The Provisions further set out requirements for utilization of new applications driven by new technology (such as deep learning and virtual reality) to produce, publish and disseminate audio-visual information, for example, audio-visual information service providers are required to conduct safety evaluation, identify and label fraudulent audio-visual information, and to defeat rumors, false news and content violating user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Producing Audio/Video Programs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19, 2004, the State Administration of Radio, Film and Television promulgated the Administrative Measures on the Production and Operation of Radio and Television Programs, effective as of August 20, 2004 and last amended in June, 2025. These measures provide that anyone who wishes to produce or operate radio or television programs must first obtain an operating permit. Applicants for this permit must meet several criteria, including having radio and television–related professional personnel and working premises appropriate for the scope of the business. Weimeng holds a permit for radio and television program production and operation, with a permitted scope of production and distribution of radio and television programs (excluding political news and similar topics and columns), valid until June 13, 2026.</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9, 2019, China Network Audio-Visual Program Service Association issued the Detailed Rules for Reviewing Network Short Video Contents, which was amended on December 15, 2021 and sets out 100 types of contents that are restricted from short-video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Live-streaming Services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4, 2016, the Cyberspace Administration of China promulgated the Regulations on the Administration of Online Live-streaming Services, which became effective on December 1, 2016. These regulations provide that online live-streaming service providers and distributors must legally obtain the qualification for internet news information services before providing such services on the internet, and engage in online news information services to the licensed extent. Online live-streaming service providers must review all live internet news information and interactions before publishing them, and set up their “chief editor” position if they provide live-streaming services of internet news information. These regulations also stipulate that online live-streaming service providers must carry out their subject responsibility, arrange professionals commensurate with its service size, establish and improve various management systems, and have the technical capability to immediately cut online live-streaming, and its technical plans shall comply with the national standards. In addition, online live-streaming service providers must conduct graded and categorized management according to the content category and user scale of online live-streaming, and establish a credit rating management system for online live-streaming distributors as well as a blacklist management system.</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 2016, the Ministry of Culture issued the Administrative Measures for Business Activities of Online Performances, which took effect on January 1, 2017, and provide that the online performances must not involve six types of content, such as “those infringing upon others’ legitimate rights and interests by taking candid photographs or using a hidden recorder.” Entities engaging in online performances must require and verify the registration of performers with their own valid IDs and real names. Moreover, these measures stress that entities engaging in online performances must improve their own user registration systems, maintain the information provided by users for registration, and take active actions to safeguard the safety of users’ information.</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August 1, 2018, the Cyberspace Administration of China and the other five PRC governmental authorities jointly issued the Circular on Tightening the Administration of Online Live-streaming Services, which specifies respective duties of online live-streaming service providers, network access service providers and application stores, aiming to prompt internet-based enterprises to fulfill their responsibilities. This circular provides that an online live-streaming service provider must make a record filing with the competent telecommunications authority as an internet content provider (ICP). Online live-streaming service providers are also required to apply for a permit with the local authorities if it engages in telecommunications business, live streaming business for internet news information, online performance, and/or online visual-audio programs. Online live-streaming service providers must make record filings with the local public security authorities within 30 days after live-streaming services have been published on the internet. In addition, online live-streaming service providers are required to implement real name verification system for users, intensify administration of online anchors, establish blacklist system for online anchors, optimize the system of watching and censoring livestreamed content for regulatory purposes, and improve measures to better respond to harmful content.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November 6, 2020, the State Administration for Market Regulation issued the Guidelines on Strengthening Supervision of Online Live Streaming Marketing Activities, pursuant to which a network platform will assume the responsibility and obligation as an e-commerce platform operator according to the E-Commerce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platform provides operators, who sell goods or provide services via internet live streaming, with services such as internet operation place, transaction matchmaking and information publication in order for the transaction parties to independently complete their transaction activities.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12, 2020, the National Radio and Television Administration issued the Notice on Strengthening the Management of Online Show Live Streaming and E-commerce Live Streaming, pursuant to which live streaming platforms for online shows are requested to strengthen positive value guidance and enable those tasteful, meaningful, interesting and warm live streaming programs to have good traffic, and to prevent the spread of the trends of wealth flaunting, money worshiping and vulgarity. The Notice 78 requests the live streaming platforms for online shows and e-commerce to register in the National Internet Audio-Visual Platforms Information Management System, and we have completed such registration as requested on August 14, 2025 and is subject to annual renewal. In addition, the number of content reviewers a platform is required to keep must in principle be no less than 1:50 of the number of live streaming rooms. Live streaming platforms for online shows need to manage the hosts and users making virtual gifting based on the real-name registration system, and users who have not registered with real names or who are minors are prohibited from virtual gifting. The live streaming platforms are required to implement real-name registration system by real-name verification, face recognition, manual review and other measures to prevent minors from virtual gifting. The platform shall limit the maximum amount of rewards each user may give per time, day and month. Live streaming platforms for e-commerce shall not illegally produce and broadcast, beyond their business scope of e-commerce, any commentary programs unrelated to sales of goods.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9, 2021, the Cyberspace Administration of China and certain other governmental authorities issued the Notice on Promulgation of the Guiding Opinions on Strengthening the Standardized Administration of Online Live Streaming, according to which online live broadcasting platforms providing online live streaming information services shall strictly abide by laws, regulations and regulatory requirements of the PRC, and shall strictly perform their statutory duties and obligations, implement the list of primary responsibilities of online live streaming platforms and ensure correct orientation and content safety. These guiding opinions also set forth requirements for certain live streaming businesses with respect to real-name registration, restrictions on minors on virtual gifting and other requirements, and further strengthen the industry admittance filing management.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Law of the PRC on the Protection of Minors (2020 Revision), which took effect on June 1, 2021 and amended in April 2024, live streaming service providers are not allowed to provide minors under age 16 with online live streaming publisher account registration service, and must obtain the consent from parents or guardians and verify the identity of the minors before allowing minors aged 16 or above to register live streaming publisher accounts.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24, 2025, the National Development and Reform Commission, the Ministry of Commerce and the State Administration for Market Regulation jointly issued the Negative List for Market Access (2025 Version), which provides that non-state-capitalized entities shall not engage in live streaming of political, economic, military, diplomatic, major social, cultural, scientific and technological, health, education, sports and other activities and events related to political direction, public opinion orientation and value orientation. The scope of live streaming business under this list is relatively broad and vague, and is subject to further clarifications and interpretations by the regulator.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25, 2022, the Cyberspace Administration of China, the SAT and the State Administration for Market Regulation jointly issued the Opinions on Further Regulating the For-Profit Activities in Online Live Streaming to Promote a Healthy Development of the Industry, which require live streaming platforms to strictly comply with the laws and regulations and the principle of real-name verification at the back end and voluntary registration at the front end. Live streaming publishers must be authenticated and registered based on their identity card information and unified social credit codes. Live streaming platforms must report required information to the local provincial-level cyberspace administration and the competent tax authority every six months, including the identity information, remuneration account, type of revenue, and profit-earning details of live streaming publishers.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Online Music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20, 2006, the Ministry of Culture issued Several Suggestions of the Ministry of Culture on the Development and Administration of internet Music, which became effective immediately upon its issuance. These suggestions reiterate the requirement for an internet service provider to obtain an internet culture business permit to carry out any business relating to internet music products. In addition, foreign investors are prohibited from operating internet culture businesses. However, the laws and regulations on internet music products are still evolving, and there have not been any provisions stipulating whether or how music videos will be regulated by these suggestions.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18, 2009, the Ministry of Culture promulgated the Notice on Strengthening and Improving the Content Review of Online Music. According to this notice, only “internet culture operating entities” approved by the Ministry of Culture may engage in the production, release, dissemination (including providing direct links to music products) and importation of online music products. On October 23, 2015, the Ministry of Culture promulgated the Circular on Further Strengthening and Improving the Administration of Content of Online Music, which became effective on January 1, 2016. According to the circular, the content of online music shall be reviewed by or filed with the Ministry of Culture. Internet culture operating entities should establish a strict self-monitoring system of online music content and set up a special department in charge of such monitoring. Weimeng has obtained an Online Culture Operating Permit, the scope of which covers online music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News Dissemination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28, 2015, the Cyberspace Administration of China issued the Provisions on the Questioning Procedures for Internet News Service Providers, which took effect on June 1, 2015. These provisions provide the Cyberspace Administration of China and its local branches with a formal procedure for bringing in key personnel from internet news service providers for questioning as well as giving oral warnings, identifying problems and ordering rectifications in certain circumstances specified in these provisions such as the failure to deal with illegitimate information in a timely fashion and when circumstances are severe. If the Cyberspace Administration of China or its local branches orders an internet news service provider to rectify a problem through the questioning procedures and it fails to do so, then the internet new service provider may be subject to administrative action including a written warning, fine, temporary suspension of operations or the revocation of licenses. Internet news service providers are also subject to enhanced penalties for several violations under the questioning procedures. Additionally, the Cyberspace Administration of China and its local branches may publicize information related to the questioning procedures that it conducted against internet news service providers.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May 2, 2017, the Cyberspace Administration of China issued the Administrative Provisions for Internet News Information Services, which became effective on June 1, 2017. These provisions are intended to help solidify the jurisdiction of Cyberspace Administration of China over internet news information services. These provisions require that internet websites, apps, forums, blogs, microblogs, official accounts, instant messaging tools, network-based broadcasts and other similar means that provide internet news information services obtain a permit for internet news information services. These provisions also broaden the scope of internet news information services to include (i) services of collecting, editing, and releasing internet news information; (ii) reposting such news information; and (iii) providing a platform to spread such news information. To apply for such a permit, the applicant must satisfy requirements such as that it be a legal entity established in China and that its principal or chief editor be a Chinese citizen. In addition, all internet news providers are explicitly required to review and self-censor the content published by them and to take measures to cease transmission and remove content if inappropriate content is discovered, as well as maintain records and report such matters to the competent regulators.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24, 2025, the National Development and Reform Commission, and the Ministry of Commerce and the State Administration for Market Regulation jointly issued the Negative List for Market Access (2025 Version), which provides that non-state-capitalized entities shall not conduct the business of news collecting, editing, releasing and reporting. Weibo does not collect, edit, release or report news by itself. Weibo holds an Internet News and Information Service License, which allows it to provide the service of reposting news information and operating a platform to disseminate news information.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Weimeng provides a platform for our users to post news, current topics and social events and it has obtained an Internet News Publication License on July 30, 2025 for providing news republishing and broadcasting platform services, which is valid through July 29,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Mapping Services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Surveying and Mapping Law promulgated by the National People’s Congress in 1992 and amended in 2002 and 2017, entities engaged in surveying and mapping services should obtain a surveying and mapping qualification certificate and comply with the state’s surveying and mapping criteria. According to the amended Administrative Rules of Surveying Qualification Certificate and the amended Standard for Surveying Qualification Certificate issued by the former National Administration of Surveying, Mapping and Geo-information in 2021, respectively, non-surveying and mapping enterprise is subject to the approval of this authority and requires a surveying and mapping qualification certificate to provide internet mapping services.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26, 2015, the State Council enacted the Administrative Regulations on Maps, which took effect on January 1, 2016. These regulations require entities engaging in internet mapping services, such as geographic positioning, the uploading of geographic information or markings, and the development of a public map database, to obtain a qualification certificate for surveying and mapping. These regulations require entities engaging in online map services to use mapping data approved by the governmental authorities, host servers storing map data within the PRC, and establish a management system as well as protection measures for the data security of the online maps. The mapping data must not contain any content prohibited by these regulations, and no entities or individuals are allowed to upload or mark such prohibited content online. Further, entities engaging in internet mapping services shall keep confidential any information involving state secrets and trade secrets acquired during their work.</w:t>
      </w:r>
    </w:p>
    <w:p>
      <w:pPr>
        <w:spacing w:after="0" w:line="17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Weimeng holds a surveying and mapping qualification certificate (Class B) issued by Beijing Municipal Commission of Planning and Natural Resources, valid through October 11, 2026.</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Drug Information Services</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Provisions on the Administration of Internet Drug Information Services, promulgated by the State Food and Drug Administration and most recently amended in November 2017, an enterprise publishing drug-related information must obtain a qualification certificate from the provincial-level food and drug administration before it applies for the ICP license or files with the Ministry of Industry and Information Technology or its local provincial-level counterpart. An ICP service operator that provides information regarding drugs or medical devices must obtain an Internet Drug Information Service Qualification Certificate from the applicable provincial level administrative authority. We have completed the filing for the drug-related information available on our platform, including information from those using our platform to promote their products and services and drug-related information shared on our platform.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China has adopted legislation governing intellectual property rights, including trademarks, patents and copyrights. China is a signatory to the major international conventions on intellectual property rights and became a member of the Agreement on Trade Related Aspects of Intellectual Property Rights upon its accession to the World Trade Organization in December 2001.</w:t>
      </w:r>
    </w:p>
    <w:p>
      <w:pPr>
        <w:spacing w:after="0" w:line="181" w:lineRule="exact"/>
        <w:rPr>
          <w:sz w:val="20"/>
          <w:szCs w:val="20"/>
          <w:color w:val="auto"/>
        </w:rPr>
      </w:pPr>
    </w:p>
    <w:p>
      <w:pPr>
        <w:jc w:val="both"/>
        <w:ind w:firstLine="648"/>
        <w:spacing w:after="0" w:line="215" w:lineRule="exact"/>
        <w:rPr>
          <w:sz w:val="20"/>
          <w:szCs w:val="20"/>
          <w:color w:val="auto"/>
        </w:rPr>
      </w:pPr>
      <w:r>
        <w:rPr>
          <w:rFonts w:ascii="Times New Roman" w:cs="Times New Roman" w:eastAsia="Times New Roman" w:hAnsi="Times New Roman"/>
          <w:sz w:val="18"/>
          <w:szCs w:val="18"/>
          <w:i w:val="1"/>
          <w:iCs w:val="1"/>
          <w:color w:val="auto"/>
        </w:rPr>
        <w:t xml:space="preserve">Patent. </w:t>
      </w:r>
      <w:r>
        <w:rPr>
          <w:rFonts w:ascii="Times New Roman" w:cs="Times New Roman" w:eastAsia="Times New Roman" w:hAnsi="Times New Roman"/>
          <w:sz w:val="18"/>
          <w:szCs w:val="18"/>
          <w:color w:val="auto"/>
        </w:rPr>
        <w:t>The Patent Law was adopted in 1984 and amended in 1992, 2000, 2008 and 2020. The amended version in 2020 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effect on June 1, 2021. The purpose of the Patent Law is to protect lawful interests of patent holders, encourage invention, foster applications of invention, enhance innovative capabilities and promote the development of science and technology. To be patentable, invention or utility models must meet three conditions: novelty, inventiveness and practical applicability. Patents cannot be granted for scientific discoveries, rules and methods for intellectual activities, methods used to diagnose or treat diseases, animal and plant breeds, nuclear transformation method and substances obtained by the method of nuclear transformation or a design which has major marking effect on the patterns or colors of graphic print products or a combination of both patterns and colors. The Patent Office under the State Intellectual Property Office is responsible for receiving, examining and approving patent applications. A patent is valid for a term of twenty years in the case of an invention and a term of ten years in the case of utility models and a term of fifteen years in the case of designs. A third-party user must obtain consent or a proper license from the patent owner to use the patent. Otherwise, the use constitutes an infringement of patent rights. Furthermore, the Patent Examination Guidelines, amended in November 2025 by the China National Intellectual Property Administration (CNIPA) and effective from January 1, 2026, reaffirm that inventors must be natural persons and mandate accurate disclosure of all inventors’ identity information, expressly prohibiting the designation of institutions, collectives, or AI systems as inventors. The revised Guidelines further strengthen disclosure requirements for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inventions by requiring patent specifications to clearly describe model architectures, training processes and key parameters, or to explain how algorithms are combined with specific application scenarios, so as to ensure that the claimed technical solution can be implemented by a person skilled in the art.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registered 384 patents and applied for 26 patents with the PRC State Intellectual Property Office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Copyright. </w:t>
      </w:r>
      <w:r>
        <w:rPr>
          <w:rFonts w:ascii="Times New Roman" w:cs="Times New Roman" w:eastAsia="Times New Roman" w:hAnsi="Times New Roman"/>
          <w:sz w:val="18"/>
          <w:szCs w:val="18"/>
          <w:color w:val="auto"/>
        </w:rPr>
        <w:t>The Copyright Law was adopted in 1990 and amended in 2001, 2010 and 2020. The amended version in 2020 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effect on June 1, 2021. The amended Copyright Law extends copyright protection to internet activities, products disseminated over the internet and software products. In addition, there is a voluntary registration system administered by the China Copyright Protection Center. The amended Copyright Law also requires registration of a copyright pledge.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According to the Copyright Law, an infringer will be subject to various civil liabilities, which include stopping the infringement, eliminating the damages, apologizing to the copyright owners and compensating the losses of copyright owners. The Copyright Law further provides that the infringer must compensate the actual loss suffered by the copyright owner. If the actual loss of the copyright owner is difficult to calculate, the illegal income received by the infringer as a result of the infringement will be deemed as the actual loss or if such illegal income is also difficult to calculate, the court can decide the amount of the actual loss up to RMB5,000,000.</w:t>
      </w:r>
    </w:p>
    <w:p>
      <w:pPr>
        <w:spacing w:after="0" w:line="17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To address the problem of copyright infringement related to the content posted or transmitted over the internet, the National Copyright Administration and the Ministry of Industry and Information Technology jointly promulgated the Measures for Administrative Protection of Copyright Related to the Internet in 2005.</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Protection of the Right of Communication through Information Networks was promulgated by the State Council in 2006 and amended in 2013. Under this regulation, with respect to any information storage space, search or link services provided by an internet service provider, if the legitimate right owner believes that the works, performance or audio or video recordings pertaining to that service infringe his or her rights of communication, the right owner may give the internet service provider a written notice containing the required information along with preliminary materials proving that an infringement has occurred, and requesting that the internet service provider delete, or disconnect the links to, such works or recordings. The right owner will be responsible for the truthfulness of the content of the notice. Upon receipt of the notice, the internet service provider must delete or disconnect the links to the infringing content immediately and forward the notice to the user that provided the infringing works or recordings. If the written notice cannot be sent to the user due to the unknown IP address, the contents of the notice shall be publicized via information networks. If the user believes that the subject works or recordings have not infringed others’ rights, the user may submit to the internet service provider a written explanation with preliminary materials proving non-infringement, and a request for the restoration of the deleted works or recordings. The internet service provider should then immediately restore the deleted or disconnected content and forward the user’s written statement to the right owner.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Civil Code of the PRC effective from January 1, 2021, both internet users and internet service providers may be liable for the wrongful acts of users who infringe the lawful rights of other parties. If an internet user utilizes internet services to commit a tortious act, the party whose rights are infringed may request the internet service provider to take measures, such as removing or blocking the content, or disabling the links thereto, to prevent or stop the infringement. If the internet service provider does not take necessary measures after receiving such notice, it shall be jointly liable for any further damages suffered by the rights holder. Furthermore, if an internet service provider fails to take necessary measures when it knows that an internet user utilizes its internet services to infringe the lawful rights and interests of other parties, it shall be jointly liable with the internet user for damages resulting from the infringement.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address issues related to the hearing of civil disputes concerning the infringement of the right of communication through information networks, the PRC Supreme People’s Court issued the Provisions on Several Issues Concerning the Application of Law in Hearings of Civil Dispute Cases on the Infringement of Information Networking Transmission Rights, which took effect as of January 1, 2013 and was amended in 2020. This document provides more detailed guidance as to the circumstances in which the provision by network users or network service providers of other’s works, performances, and audio or video products without permission from the rights owner constitutes infringement of information network transmission rights. This document provides that internet service providers will be jointly liable if they assist in infringing activities or fail to remove infringing content from their websites once they know of the infringement or receive notice from the rights holder. This document also provides that where a network service provider obtains economic advantage directly from the works, performances, and sound or visual recordings provided by the network service provider, it must pay close attention to infringement of network information transmission rights by network users.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further implement the Computer Software Protection Regulations promulgated by the State Council on December 20, 2001 and amended on January 30, 2013, the National Copyright Administration of the PRC issued Computer Software Copyright Registration Procedures on February 20, 2002, which apply to software copyright registration, license contract registration and transfer contract registration.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compliance with, and in order to take advantage of, the above rules, we have registered 688 software copyrights as of December 31,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Trademark. </w:t>
      </w:r>
      <w:r>
        <w:rPr>
          <w:rFonts w:ascii="Times New Roman" w:cs="Times New Roman" w:eastAsia="Times New Roman" w:hAnsi="Times New Roman"/>
          <w:sz w:val="18"/>
          <w:szCs w:val="18"/>
          <w:color w:val="auto"/>
        </w:rPr>
        <w:t>The Trademark Law, adopted in 1982 and revised in 1993, 2001, 2013 and 2019, protects registered trademarks.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Trademark Law has adopted a “first-to-file” principle with respect to trademark registration. Where a trademark for which a registration has been made is identical or similar to another trademark that has already been registered or been subject to a preliminary examination and approval for use on the same kind of or similar commodities or services, the application for registration of such trademark may be rejected. Any person applying for the registration of a trademark must not prejudice the existing right of others obtained by priority, nor may any person register in advance a trademark that has already been used by another person and has already gained a “sufficient degree of reputation” through that person’s use. After receiving an application, the Trademark Office, which is under the National Intellectual Property Administration and handles trademark registration affairs in China, will make a public announcement if the trademark passes the preliminary examination. Within three months after such public announcement, any person may file an objection against a trademark that has passed a preliminary examination. The PRC Trademark Office’s decisions on rejection, objection or cancellation of an application may be appealed to the National Intellectual Property Administration, whose decision may be further appealed through judicial proceedings. If no objection is filed within three months after the public announcement period or if the objection has been overruled, the PRC Trademark Office will approve the registration and issue a registration certificate, at which point the trademark is deemed to be registered and will be effective for a renewable ten-year period, unless otherwise declared invalid or revoked. The licensor shall file the trademark licensing with the Trademark Office for record. The licensing of a trademark that has not</w:t>
      </w:r>
    </w:p>
    <w:p>
      <w:pPr>
        <w:spacing w:after="0" w:line="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been filed for record may not be used against a bona fide third party. “</w:t>
      </w:r>
      <w:r>
        <w:rPr>
          <w:sz w:val="1"/>
          <w:szCs w:val="1"/>
          <w:color w:val="auto"/>
        </w:rPr>
        <w:drawing>
          <wp:inline distT="0" distB="0" distL="0" distR="0">
            <wp:extent cx="351155" cy="1028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1155"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 “</w:t>
      </w:r>
      <w:r>
        <w:rPr>
          <w:sz w:val="1"/>
          <w:szCs w:val="1"/>
          <w:color w:val="auto"/>
        </w:rPr>
        <w:drawing>
          <wp:inline distT="0" distB="0" distL="0" distR="0">
            <wp:extent cx="317500" cy="12001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750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are registered trademarks of SINA’s subsidiaries in China and are exclusively licensed to us for use.</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Domain Names. </w:t>
      </w:r>
      <w:r>
        <w:rPr>
          <w:rFonts w:ascii="Times New Roman" w:cs="Times New Roman" w:eastAsia="Times New Roman" w:hAnsi="Times New Roman"/>
          <w:sz w:val="18"/>
          <w:szCs w:val="18"/>
          <w:color w:val="auto"/>
        </w:rPr>
        <w:t>On August 24, 2017, the Ministry of Industry and Information Technology promulgated the Measures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Domain Names. These measures regulate the registration of domain names, including the domain name “.CN.” On November 27, 2017, the Ministry of Industry and Information Technology promulgated the Notice on Regulating the Use of Domain Names in Providing Internet-based Information Services, which became effective on January 1, 2018. Pursuant to this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executive. We have registered domain names including weibo.com, weibo.cn, and weibo.com.cn.</w:t>
      </w:r>
    </w:p>
    <w:p>
      <w:pPr>
        <w:spacing w:after="0" w:line="13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Anti-Unfair Competition</w:t>
      </w:r>
      <w:r>
        <w:rPr>
          <w:rFonts w:ascii="Times New Roman" w:cs="Times New Roman" w:eastAsia="Times New Roman" w:hAnsi="Times New Roman"/>
          <w:sz w:val="18"/>
          <w:szCs w:val="18"/>
          <w:color w:val="auto"/>
        </w:rPr>
        <w:t>. Under the Anti-Unfair Competition Law, effective in 1993 and revised in 2017 and 2019,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 is prohibited from carrying out acts intending to cause confusion, which would mislead others into thinking that its products belong to another party or that there is an association with another party, by:</w:t>
      </w:r>
    </w:p>
    <w:p>
      <w:pPr>
        <w:spacing w:after="0" w:line="121" w:lineRule="exact"/>
        <w:rPr>
          <w:sz w:val="20"/>
          <w:szCs w:val="20"/>
          <w:color w:val="auto"/>
        </w:rPr>
      </w:pPr>
    </w:p>
    <w:p>
      <w:pPr>
        <w:ind w:left="100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without permission, a mark that is identical with or similar to product names, packaging or decoration of others with a certain degree of influence;</w:t>
      </w:r>
    </w:p>
    <w:p>
      <w:pPr>
        <w:spacing w:after="0" w:line="10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without permission, the name of an enterprise, a social organization or an individual with a certain degree of influence;</w:t>
      </w:r>
    </w:p>
    <w:p>
      <w:pPr>
        <w:spacing w:after="0" w:line="10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without permission, the main element of a domain name, website name or webpage with a certain degree of influence; and</w:t>
      </w:r>
    </w:p>
    <w:p>
      <w:pPr>
        <w:spacing w:after="0" w:line="10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confusing acts that are intended to mislead others into thinking that a product belongs to another party or there is an affiliation with another party.</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27, 2025, the Standing Committee of the National People’s Congress adopted the amendment to the Anti-unfair Competition Law, with effect from October 15, 2025, to strengthen the supervision on unfair competition in cyberspace. Specifically, the amendment provides that operators shall not use data, algorithms, technology or platform rules to disrupt or impede the network products or services provided by other operators. The operators are also prohibited from obtaining and using data from other operators through fraudulent, coercive, or electronic intrusion methods.</w:t>
      </w:r>
    </w:p>
    <w:p>
      <w:pPr>
        <w:spacing w:after="0" w:line="1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Relating to Our Business—We may not be able to adequately protect our intellectual property, which could cause us to be less competitive.”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2008 Foreign Currency Administration Rules, if documents certifying the purposes of the conversion of RMB into foreign currency are submitted to the foreign exchange conversion bank, the RMB will be convertible for current account items, including the distribution of dividends, interest and royalties payments, and trade and service-related foreign exchange transactions. Conversion of RMB for capital account items, such as direct investment, loans, securities investment and repatriation of investment, however, is subject to the approval of SAFE or its local counterparts.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Under the 1996 Administration Rules of the Settlement, Sale and Payment of Foreign Exchange, foreign-invested enterprises may only buy, sell and/or remit foreign currencies at banks authorized to conduct foreign exchange business after providing valid commercial documents and, in the case of capital account item transactions, obtaining approval from SAFE or its local counterparts. Capital investments by PRC entities outside of China, after obtaining the required approvals from regulatory authorities, such as the Ministry of Commerce and the National Development and Reform Commission or their local counterparts, are also required to register with SAFE or its local counterparts.</w:t>
      </w:r>
    </w:p>
    <w:p>
      <w:pPr>
        <w:spacing w:after="0" w:line="12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SAFE promulgated a circular on November 19, 2012 that tightens the examination on the authenticity of settlement of net proceeds from an offering and requires that the settlement of net proceeds shall be in accordance with the description in its prospectus.</w:t>
      </w:r>
    </w:p>
    <w:p>
      <w:pPr>
        <w:spacing w:after="0" w:line="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March 30, 2015, the SAFE issued the Circular on Reform of the Administrative Rules of the Payment and Settlement of Foreign Exchange Capital of Foreign-Invested Enterprises, or SAFE Circular 19, which became effective on June 1, 2015. Pursuant to SAFE Circular 19, foreign-invested enterprises may either continue to follow the current payment-based foreign currency settlement system or elect to follow the “conversion-at-will” regime of foreign currency settlement. Where a foreign-invested enterprise follows the conversion-at-will regime of foreign currency settlement, it may convert part or all of the amount of the foreign currency in its capital account into Renminbi at any time. The converted Renminbi will be kept in a designated account labeled as settled but pending payment, and if the foreign-invested enterprise needs to make payment from such designated account, it still needs to go through the review process with its bank and provide necessary supporting documents. SAFE Circular 19, therefore, has substantially lifted the restrictions on the usage by a foreign-invested enterprise of its RMB registered capital converted from foreign currencies. According to SAFE Circular 19, such Renminbi capital may be used at the discretion of the foreign-invested enterprise and the SAFE will eliminate the prior approval requirement and only examine the authenticity of the declared usage afterwards.</w:t>
      </w:r>
    </w:p>
    <w:p>
      <w:pPr>
        <w:spacing w:after="0" w:line="10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June 9, 2016, SAFE issued the Circular on Reforming and Regulating Policies on the Control over Foreign Exchange Settlement of Capital Accounts, or SAFE Circular 16, which became effective on the same day. Pursuant to SAFE Circular 16, enterprises registered in China may convert their foreign debts from foreign currency to RMB on discretionary basis. SAFE Circular 16 provides an integrated standard for conversion of foreign exchange under capital account items (including, but not limited to, foreign currency capital and foreign debts) on discretionary basis which applies to all enterprises registered in China. SAFE Circular 16 reiterates the principle that RMB converted from foreign currency-denominated capital of a company may not be directly or indirectly used for purposes beyond its business scope or prohibited by PRC laws or regulations, while such converted RMB shall not be provided as loans to its non-affiliated entities, or used for construction and purchase of non-self-used real estate (excluding real estate enterprises) or unless otherwise expressly provided in law, directly or indirectly used in securities investment or other financial management excluding the bank capital preservation products. As SAFE has not provided detailed guidelines with respect to its interpretation or implementation, it is uncertain how these rules will be interpreted and implemented.</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23, 2019, SAFE issued the Notice of the State Administration of Foreign Exchange on Further Facilitating Cross-border Trade and Investment, which allows all foreign-invested companies to use RMB converted from foreign currency-denominated capital for equity investments in China, for so long as there is a truthful equity investment, and such equity investment does not violate applicable laws and does comply with the negative list on foreign investment.</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Notice of the People’s Bank of China and the State Administration of Foreign Exchange on Issues Concerning Fund Management for Overseas Listing of Domestic Enterprises, jointly issued by the People’s Bank of China and the SAFE on December 24, 2025, became effective on April 1, 2026. Under this Notice, the People’s Bank of China, the SAFE, and its local branches implement supervision, administration, and inspection over activities related to the overseas listing of domestic companies, including business registration, account opening and use, cross-border receipts and payments, and fund conversion.</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utilizing the proceeds we received from our offerings or debt financings, as an offshore holding company with a PRC subsidiary, we may (i) make additional capital contributions to our PRC subsidiaries, (ii) establish new PRC subsidiaries and make capital contributions to these new PRC subsidiaries, (iii) make loans to our PRC subsidiaries, or (iv) acquire offshore entities with business operations in China in offshore transactions. However, most of these uses are subject to PRC regulations and/or approvals. For example, loans we make to our PRC subsidiaries, which are foreign-invested enterprises, to finance their activities cannot exceed statutory limits and must be registered with SAFE or its local branches.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“Item 3. Key Information—D. Risk Factors—Risks Relating to Doing Business in China—PRC regulations of loans to PRC entities and direct investment in PRC entities by offshore holding companies may delay or prevent us from using offshore funds to make loans or additional capital contributions to our PRC subsidiaries.”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Employee Stock Options Plans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2012, SAFE promulgated the Notice on the Administration of Foreign Exchange Matters for Domestic Individuals Participating in the Stock Incentive Plans of Overseas Listed Companies to replace the former procedures. This notice simplifies the requirements and procedures for the registration of stock incentive plan participants, especially with respect to the required application documents and the absence of strict requirements on offshore and onshore custodian banks, as were stipulated in the former procedures. The purpose of both the former procedures and the new notice is to regulate the foreign exchange administration of PRC resident individuals who participate in employee stock holding plans or share option plans of overseas listed companies.</w:t>
      </w:r>
    </w:p>
    <w:p>
      <w:pPr>
        <w:spacing w:after="0" w:line="1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these rules, for PRC resident individuals who participate in stock incentive plans of overseas publicly listed companies, which includes employee stock ownership plans, stock option plans and other incentive plans permitted by the laws and regulations, a PRC domestic qualified agent or the PRC subsidiary of such overseas listed company must file on behalf of such resident an application with SAFE or its local counterpart to obtain approval for an annual allowance with respect to the purchase of foreign exchange in connection with the stock holding or exercise of share options, as PRC residents may not directly use overseas funds to purchase shares or exercise share options. In addition, within three months after any substantial changes to any such stock incentive plan, including for example, any changes due to a merger or acquisition or changes to the domestic or overseas custodian agent, the domestic agent must update the registration with SAFE.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Foreign Currency Administration Rules, as amended in 2008, the foreign exchange proceeds of domestic entities and individuals can be remitted into China or deposited abroad, subject to the terms and conditions to be issued by SAFE. However, the implementing rules with respect to depositing foreign exchange proceeds abroad have not been issued by SAFE. The foreign exchange proceeds from the sales of shares can be converted into RMB or transferred to such individuals’ foreign exchange savings account after the proceeds have been remitted back to the special foreign exchange account opened at the PRC domestic bank. If share options are exercised in a cashless exercise, the PRC domestic individuals are required to remit the proceeds to special foreign exchange accounts.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issues with respect to the new notice require further interpretation. We and our PRC employees who have participated in an employee stock ownership plan or share option plan are subject to the new notice. If we or our PRC employees fail to comply with the new notice, we and our PRC employees may face sanctions imposed by the PRC foreign exchange authority or any other PRC government authorities, including restrictions on foreign currency conversions and additional capital contributions to our PRC subsidiaries.</w:t>
      </w:r>
    </w:p>
    <w:p>
      <w:pPr>
        <w:spacing w:after="0" w:line="1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circulars concerning employee share options. Under these circulars, our employees working in China who exercise share options will be subject to PRC individual income taxes. Our PRC subsidiaries have obligations to file documents related to employee share options with the tax authorities and withhold individual income taxes of employees who exercise their share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“Item 3. Key Information—D. Risk Factors—Risks Relating to Doing Business in China—Failure to comply with PRC regulations regarding the registration requirements for stock ownership plans or stock option plans may subject PRC plan participants or us to fines and other legal or administrative sanctions.”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Laws and Social Insurance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 Violations of the PRC Labor Contract Law and the PRC Labor Law may result in the imposition of fines and other administrative liabilities. Criminal liability may arise for serious violations.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according to the PRC Social Insurance Law and the Regulations on the Administration of Housing Provident Funds, employers in China are obliged to provide employees with welfare schemes covering pension insurance, unemployment insurance, maternity insurance, work-related injury insurance, medical insurance and housing funds.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comply with these laws and regulations, we have caused all of our full-time employees to enter into labor contracts and provide our employees with the proper welfare and employment benefits. If we are made subject to severe penalties or incur significant liabilities in connection with labor disputes or investigations, our business and results of operations may be adversely affected.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Concentration in Merger and Acquisition Transactions and Overseas Listings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established procedures and requirements that could make merger and acquisition activities by foreign investors more time-consuming and complex. The Regulations on Mergers and Acquisitions of Domestic Enterprises by Foreign Investors require that the Ministry of Commerce be notified in advance of any change-of-control transaction in which a foreign investor will take control of a PRC domestic enterprise or a foreign company with substantial PRC operations, if certain thresholds under the Provisions on Thresholds for Prior Notification of Concentrations of Undertakings are triggered.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published the Anti-Monopoly Guidelines for the Internet Platform Economy Sector, which reinforces antitrust merger review for internet platform related transactions and clarifies at the first time the filing procedures is applicable to the transactions involving variable interest structures.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24, 2022, the Standing Committee of the National People’s Congress adopted the Anti-Monopoly Law, which came into effect on August 1, 2022. This law increases fines for illegal business concentration to a maximum of 10% of the operator’s previous year’s sales revenue if the concentration has the potential to exclude or limit competition. The fine could be up to RMB5 million if the concentration has no effect of excluding or limiting competition. This law also mandates that the PRC authorities can order operators to report concentration, even below the filing threshold, if there is evidence of potential anti-competitive harm.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10, 2023, the State Administration for Market Regulation issued four implementing rules to provide further clarity on the new Anti-Monopoly Law. These rules include provisions for curbing abuse of administrative power, prohibiting monopoly agreements, preventing abuse of market dominance, and reviewing undertakings’ concentration.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22, 2024, the State of Council adopted new merger controlling filing thresholds by promulgating the amended Provisions of the State Council on Thresholds for Prior Notification of Concentration of Undertakings, which took effect upon release. These new provisions substantially increased the turnover thresholds to trigger merger filings in China. Any transaction that satisfies either of the following standards must be filed with the anti-monopoly law enforcement agency under the State Council before its consummation: (i) during the previous fiscal year, the total worldwide turnover of all undertaking participants exceeded RMB12 billion and at least two of these participants each had a turnover of more than RMB800 million within China, or (ii) during the previous fiscal year, the total turnover within China of all undertaking participants exceeded RMB4 billion and at least two of these participants had a turnover of more than RMB800 million within China.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Offerings and Listings by Domestic Companies, with effect from March 31, 2023, and five supporting guidelines. Under these measures, PRC domestic enterprises conducting overseas securities offering and listing, either directly or indirectly, shall complete filings with the CSRC within three working days following the submission of an application for initial public offering or listing. Starting from March 31, 2023, enterprises that have been listed overseas or satisfy all of the following conditions shall be deemed as “Grandfathered Issuers” and are not required to complete the overseas listing filing immediately. The supporting guidelines further provide that the examination and determination of an indirect offering and listing will be conducted on a substance-over-form basis, and an offering and listing shall be deemed as a PRC company’s indirect overseas offering and listing if the issuer meets both of the following conditions: (i) any of the operating income, gross profit, total assets, or net assets of the PRC companies in the most recent fiscal year was more than 50% of the relevant line item in the issuer’s audited consolidated financial statement for that year; and (ii) senior management personnel responsible for business operations and management are mostly PRC citizens or are ordinarily resident in the PRC, or the principal place of business is in the PRC or carried out in the PRC. In all such cases, the issuer or its designated principal operating PRC entity, as the case may be, shall file with the CSRC for its initial public offering, follow-on offering and other equivalent offering activities. Particularly, the issuer shall submit a filing with respect to its initial public offering and listing within three business days after its initial filing of the listing application and submit a filing with respect to its follow-on offering within three business days after the completion of the follow-on offering. The issuer shall also submit a report with respect to the following material events within three business days after the occurrence and announcement of such event: (i) change of control rights; (ii) being investigated or punished by overseas securities regulatory authorities or the competent authorities; (iii) change of listing status or listing board; and (iv) voluntary or mandatory termination of the listing. The supporting guidelines clarify that “control relationship” or “control right” under the Trial Administrative Measures of Overseas Securities Offerings and Listings by Domestic Companies refer to the actual control of the company by means of equity, voting rights, trusts, agreements and other arrangements, either individually or jointly, directly or indirectly. Therefore, the Trial Administrative Measures of Overseas Securities Offerings and Listings by Domestic Companies are interpreted to apply to PRC companies that use a variable interest entity structure. Issuers are not allowed to pursue overseas offerings and listings in the following circumstances, (i) explicit prohibition from financing through listing by laws or administrative regulations; (ii) recognition by the competent department of the State Council that the issuer’s overseas offering and listing may harm national security; (iii) commission of criminal offenses, such as embezzlement, bribery, misappropriation of property, or disruption of market orders by the domestic companies, its controlling shareholder, or the actual controller within the past three years; (iv) ongoing investigation by law enforcement agencies for suspected criminal or significant illegal and irregular activities without any clear conclusion yet; and (v) material ownership disputes over shares held by the controlling shareholder or by other shareholders that are controlled by controlling shareholder and/or actual controller. Additionally, the Trial Administrative Measures of Overseas Securities Offerings and Listings by Domestic Companies impose certain compliance requirements for issuers, such as compliance with national security laws, regulations and provisions on foreign investment, cyber security and data security, and address that security review procedures, if involved, shall be carried out in accordance with the laws prior to submitting the application for overseas offering and listing.</w:t>
      </w:r>
    </w:p>
    <w:p>
      <w:pPr>
        <w:spacing w:after="0" w:line="2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Complying with these requirements could affect our ability to expand our business or maintain our market share. See “Item 3. Key Information—D. Risk Factors—Risks Relating to Doing Business in China—PRC laws and regulations establish more complex procedures for some acquisitions of Chinese companies by foreign investors, which could make it more difficult for us to pursue growth through acquisitions in China.”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Weibo Corporation is the offshore holding company of our group and conducts business operations in China through wholly owned and partially owned subsidiaries, and the VIEs and VIEs’ subsidiaries. The following diagram illustrates our corporate structure, including our major subsidiaries and the VIEs,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5726430" cy="4466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26430" cy="446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40" w:right="20" w:hanging="332"/>
        <w:spacing w:after="0" w:line="271"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Weimeng are four PRC employees of us or SINA, namely, Yunli Liu, Wei Wang, Wei Zheng and Zenghui Cao, holding 29.70%, 29.70%, 19.80% and 19.80% of Weimeng’s equity interests, respectively, and WangTouTongDa (Beijing) Technology Co., Ltd., a third-party minority stake holder, holding 1% of Weimeng’s equity interest. See also “Item 4. Information on the Company—C. Organizational Structure—Minority Investment in Weimeng.”</w:t>
      </w:r>
    </w:p>
    <w:p>
      <w:pPr>
        <w:spacing w:after="0" w:line="183" w:lineRule="exact"/>
        <w:rPr>
          <w:rFonts w:ascii="Times New Roman" w:cs="Times New Roman" w:eastAsia="Times New Roman" w:hAnsi="Times New Roman"/>
          <w:sz w:val="14"/>
          <w:szCs w:val="14"/>
          <w:color w:val="auto"/>
        </w:rPr>
      </w:pPr>
    </w:p>
    <w:p>
      <w:pPr>
        <w:ind w:left="340" w:hanging="332"/>
        <w:spacing w:after="0" w:line="30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Weimeng Chuangke are two PRC employees of us or SINA, namely, Yunli Liu and Wei Wang, holding 50% and 50% of Weimeng Chuangke’s equity interests,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Individual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comply with the PRC government’s foreign investment restrictions on internet information services and other laws and regulations, we conduct all our internet information services and value-added telecommunication services in China via our significant domestic VIEs. Our consolidated affiliated Chinese entities hold the licenses and assets that are important to our business operations including the Internet Content Provision License, the Online Culture Operating Permit and domain names held by Weimeng and our investments held by Weimeng Chuangke.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capital investments in both Weimeng and Weimeng Chuangke were funded through Weibo Technology and recorded as interest-free loans to the respective shareholders of Weimeng and Weimeng Chuangke. As of December 31, 2025, the total amount of interest-free loans to the shareholders of Weimeng was RMB555.0 million (US$79.4 million) and to the shareholders of Weimeng Chuangke was RMB30.0 million (US$4.3 million). Under various contractual agreements, the shareholders of our consolidated VIEs are required to transfer their ownership in the VIEs to our wholly owned subsidiary in China, Weibo Technology, when permitted by PRC laws and regulations, or to our designees at any time for the amount of the outstanding loans, and all voting rights of our consolidated VIEs are assigned to Weibo Technology. Through Weibo Technology, we have also entered into an exclusive technical services agreement and other service agreements with each of our consolidated VIEs, under which Weibo Technology provides technical services and other services to these VIEs in exchange for substantially all of their economic benefits. In addition, the shareholders of our consolidated VIEs have pledged their shares in these VIEs as collateral for repayment of loans and payment of fees on technical and other services due to us.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Weibo Technology recognized service fees from all the VIEs in the amount of US$714.8 million, US$712.4 million and US$651.6 million for the years ended December 31, 2023, 2024 and 2025 in consideration for services provided to the VIEs. Net revenues from VIEs and VIEs’ subsidiaries accounted for 87.0%, 86.2% and 85.9% of our net revenues for the years ended December 31, 2023, 2024 and 2025. The contractual arrangements currently in force in relation to Weimeng were first established on October 11, 2010 and certain agreements were subsequently entered into on January 19, 2018. The contractual arrangements currently in force in relation to Weimeng Chuangke were first established on April 9, 2014 and certain agreements were subsequently entered into on February 17, 2020.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VIE agreements with Weimeng. The VIE agreements with Weimeng Chuangke are substantially the same as those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Weibo Technology has granted interest-free loans to the shareholders of Weimeng, who are PRC employees of either our group or SINA, but not the controlling shareholders of SINA, with the sole purpose of providing funds necessary for those shareholders to make capital injections to Weimeng. The term of the loans is 10 years and Weibo Technology has the right, at its own discretion, to shorten or extend the term of the loans if necessary. In our consolidated financial statements, these loans are eliminated with the capital of Weimeng during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shareholder of Weimeng has granted Weibo Technology an option to purchase his shares in Weimeng at a purchase price equal to the amount of capital injection. Weibo Technology may exercise such option at any time until it has acquired all shares of Weimeng, subject to applicable PRC laws. The options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Repayment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shareholder of Weimeng has agreed with Weibo Technology that the interest-free loans under the loan agreements shall only be repaid through share transfers. Once the share transfers are completed, the purchase price for the share transfer will be set off against the loan repayment. These agreements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on Authorization to Exercise Shareholder’s Voting Power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shareholder of Weimeng has authorized Weibo Technology to exercise all his voting power as a shareholder of the applicable VIE on all matters requiring shareholders’ approval under PRC laws and regulations and the articles of association of Weimeng, including, without limitation, appointment of directors, transfer, mortgage or disposal of Weimeng’s assets, transfer of any equity interest in Weimeng, and merger, split, dissolution and liquidation of Weimeng. The authorizations are irrevocable and will not expire until Weimeng dissolves.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Pledge Agreements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shareholder of Weimeng has pledged all of his shares in Weimeng and all other rights relevant to his rights in those shares to Weibo Technology as security for his obligations to pay off all debts to Weibo Technology under the loan agreement. In the event of default of such obligations, Weibo Technology will be entitled to certain rights, including transferring the pledged shares to itself and disposing of the pledged shares through sale or auction. During the term of the agreements, Weibo Technology is entitled to receive all dividends and distributions paid on the pledged shares. The pledges will be effective until the earlier of (i) the third anniversary of the due date of the last guaranteed debt, (ii) Weimeng and its shareholders have fully performed their obligations under these agreements, and (iii) Weibo Technology consents to terminate these agreements. Weimeng has completed registration of equity pledges with the relevant office of the administration for industry and commerce in accordance with the PRC Civil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Technical Services Agreement, Exclusive Sales Agency Agreement and Trademark License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Weimeng has entered into an exclusive technical services agreement, an exclusive sales agency agreement and a trademark license agreement with Weibo Technology. Under the exclusive technical services agreement, Weibo Technology is engaged to provide technical services for Weimeng’s online advertising and other related businesses. Under the exclusive sales agency agreement, Weimeng has granted Weibo Technology the exclusive right to distribute, sell and provide agency services for all the products and services provided by Weimeng. Due to its control over Weimeng, Weibo Technology has the right to determine the service fee to be charged to Weimeng under these agreements by considering, among other things, the technical complexity of the services, the actual cost that may be incurred for providing such services, the operations of Weimeng, applicable tax rates, planned capital expenditure and business strategies. These agreements can only be prematurely terminated by Weibo Technology, and will not expire until Weimeng dissolves. Under the trademark license agreement, Weibo Technology has granted Weimeng trademark licenses to use the trademarks held by or licensed to Weibo Technology in specific areas, and Weimeng is obligated to pay license fees to Weibo Technology. The term of this agreement is one year and is automatically renewed provided there is no objection from Weibo Technology.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Spousal Consent Letters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of the spouses of the shareholders of Weimeng signed the spousal consent letters. The shareholders, except for the third-party minority stakeholder, collectively hold 99% equity interest in Weimeng. Pursuant to the spousal consent letters, each signing spouse unconditionally and irrevocably agreed that the spouse is aware of the abovementioned loan agreements, share transfer agreements, loan repayment agreements, agreement on authorization to exercise shareholder’s voting power and share pledge agreements and has read and understood the contractual arrangements. Each signing spouse has committed not to make any assertions in connection with the equity interests of the relevant shareholder’s interest in Weimeng to execute all necessary documents and take all necessary actions to ensure appropriate performance of the abovementioned agreements, and, if the spouse obtains any equity interests of Weimeng, to be bound by the abovementioned agreements, comply with the obligations thereunder as a shareholder of Weimeng and sign a series of written documents in substantially the same format and content as the abovementioned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Investment in Weimeng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2020, WangTouTongDa (Beijing) Technology Co., Ltd. made an investment of RMB10.7 million in Weimeng for 1% of Weimeng’s enlarged registered capital. Such third party minority stake holder is entitled to customary economic rights in proportion to its equity ownership, and certain minority shareholder rights such as the right to appoint a director to Weimeng’s three-member board of directors, and veto rights over certain matters related to content decision, and certain future financings of Weimeng.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third-party minority stake holder is not a party to the contractual arrangements mentioned above that are currently in effect among Weimeng, Weibo Technology and Weimeng’s other shareholders. As such, despite the fact that we are still able to enjoy economic benefits and exercise effective control over Weimeng and its subsidiaries, we are not able to purchase or have the third party minority stake holder pledge its 1% equity interests in Weimeng in the same manner as agreed under existing contractual arrangements, nor are we granted the authorization of voting rights over these 1% equity interests. We believe Weibo Technology, our wholly owned PRC subsidiary, still controls and is the primary beneficiary of Weimeng (for accounting purpose only) as it continues to have a controlling financial interest in Weimeng pursuant to ASC 810-10-25-38A after the issuance of such 1% equity interests.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have been advised by our PRC counsel, Kewei Law Firm, that our arrangements with Weimeng are not in conflict with current PRC laws and regulations, we cannot assure you that we will not be required to restructure our organization and operations in China to comply with the changing and new PRC laws and regulations. Restructuring of our operations may result in disruption to our business. If PRC tax authorities were to determine that the VIE structure was not done on an arm’s-length basis and therefore constitutes favorable transfer pricing, they could request Weimeng to adjust its taxable income upward for PRC tax purposes. Such a pricing adjustment may not reduce the tax expenses of Weibo Technology but could adversely affect us by increasing Weimeng’s tax expenses, which could subject Weimeng to late payment fees and other penalties for tax under-payment and/or could result in the loss of tax benefits available to Weibo Technology in China. Any of these measures may result in adverse tax consequences to us and adversely affect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headquarters and our principal product development facilities are located in Beijing. As of December 31, 2025, we have leased approximately 81,000 square meters of office premises and operation spaces mainly in Beijing, Shanghai and Zhengzhou. These leases have various expiration dates.</w:t>
      </w:r>
    </w:p>
    <w:p>
      <w:pPr>
        <w:spacing w:after="0" w:line="17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servers that support our products and services are primarily maintained by major domestic third-party internet data center providers across mainland China, as well as servers located in Hong Kong. We share the use of certain domestic servers with SINA during the ordinary course of our business. See “Item 7. Major Shareholders and Related Party Transactions—B. Related Party Transactions—Our Relationship with SINA.”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as amended including, without limitation, statements regarding our expectations, beliefs, intentions or future strategies that are signified by the words “expect,” “anticipate,” “intend,” “believe,” the negative of such terms or other comparable terminology. All forward-looking statements included in this annual report are based on information available to us on the date hereof and we undertake no obligation to update any such forward-looking statements. Actual results could differ materially from those projected in the forward-looking statements. We caution you that our business and repetitive financial performance are subject to substantial risks and uncertainties, including the factors identified in “Item 3. Key Information—D. Risk Factors,” that could cause actual results to differ materially from those in the forward-looking statements.</w:t>
      </w:r>
    </w:p>
    <w:p>
      <w:pPr>
        <w:spacing w:after="0" w:line="183" w:lineRule="exact"/>
        <w:rPr>
          <w:sz w:val="20"/>
          <w:szCs w:val="20"/>
          <w:color w:val="auto"/>
        </w:rPr>
      </w:pPr>
    </w:p>
    <w:p>
      <w:pPr>
        <w:ind w:right="8200" w:firstLine="8"/>
        <w:spacing w:after="0" w:line="503" w:lineRule="auto"/>
        <w:tabs>
          <w:tab w:leader="none" w:pos="3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leading social media platform for people to create, discover and distribute content in China and the global Chinese communities, Weibo combines the means of public self-expression in real time with a powerful platform for social interaction, content creation and distribution. Our MAUs decreased slightly from 598 million in December 2023 to 590 million in December 2024, and 567 million in December 2025, as we have proactively adjusted our user strategy to focus on the acquisition and engagement of high quality users. Our average DAUs increased from 257 million in December 2023 to 260 million in December 2024, and decreased slightly to 252 million in December 2025. The ratio of average DAUs to MAUs increased slightly from 43% in December 2023 to 44% in December 2024, and remained stable at approximately 45% in December 2025.</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offer a wide range of advertising and marketing solutions to our customers, ranging from large brand advertisers to small medium-sized enterprises, enabling them to promote their brands, products and services to our users. Advertising and marketing services contribute the majority of our revenues, mainly including the sale of social display and promoted feeds advertisements. We have developed and are continually refining our interest-based recommendation engine, which enables our customers to perform social marketing and target audiences based on user demographics, social relationships and interests to achieve greater relevance, engagement and marketing effectiveness on Weibo.</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value we create for our users and customers is enhanced by our platform partners, which include content creators such as key opinion leaders, media outlets and other organizations with media rights, multi-channel networks, which are professional agencies for influencers, self-medias and app developers. Our platform partners contribute a vast amount of content to Weibo, which generates user engagement and is virally distributed across the platform, enriching user experience and increasing Weibo’s monetization opportunities. We have revenue-sharing arrangements with some of our platform partners, such as live streaming agencies, influencers, multi-channel networks and game developers.</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Weibo began monetization in 2012 primarily through the sale of advertising and marketing services and to a lesser extent, through value added services, mainly including membership and game related services. We place great emphasis on product innovation and our steady stream of introductions of new advertisement products has led to solid and healthy revenue growth since our IPO. In recent years, we faced macro and competitive challenges. Our revenues in 2023, 2024 and 2025 were US$1,759.8 million, US$1,754.7 million and US$1,757.2 million, respectively. We had a net income attributable to Weibo’s shareholders of US$342.6 million in 2023, US$300.8 million in 2024 and US$449.0 million in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and operating results are affected by general factors affecting the social media industry in China, which include:</w:t>
      </w:r>
    </w:p>
    <w:p>
      <w:pPr>
        <w:spacing w:after="0" w:line="185" w:lineRule="exact"/>
        <w:rPr>
          <w:sz w:val="20"/>
          <w:szCs w:val="20"/>
          <w:color w:val="auto"/>
        </w:rPr>
      </w:pPr>
    </w:p>
    <w:p>
      <w:pPr>
        <w:ind w:left="1000" w:hanging="31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social media continues to grow in popularity and becomes further integrated into people’s everyday lives in China;</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intensity of competition both for the time and attention of internet users and for the advertising and marketing spending of brands and businesses that market to consumers;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China’s or global economies, policies, and regulatory environment;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infrastructure development.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Unfavorable changes in any of these general factors could negatively affect demand for our products and services and adversely affect the results of our operations. In addition to the general factors affecting the social media industry in China, the specific factors affecting our results of operations include the following:</w:t>
      </w:r>
    </w:p>
    <w:p>
      <w:pPr>
        <w:spacing w:after="0" w:line="1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Scale and Engagement of Our User Base. </w:t>
      </w:r>
      <w:r>
        <w:rPr>
          <w:rFonts w:ascii="Times New Roman" w:cs="Times New Roman" w:eastAsia="Times New Roman" w:hAnsi="Times New Roman"/>
          <w:sz w:val="18"/>
          <w:szCs w:val="18"/>
          <w:color w:val="auto"/>
        </w:rPr>
        <w:t>Our revenues are ultimately affected by the scale of our user base, and the strategies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pursue to achieve user growth may affect our costs and expenses and results of operations. We have experienced solid user growth since our inception in 2009. As the size of our user base increases to an even larger scale and as we achieve higher market penetration in China’s internet population, we have experienced, and expect to continue to experience, fluctuations and declines in our user growth rate. Due to the size and scale we have achieved, our user base experienced slight decrease, and may not continue to grow as quickly as in the past years or at all. Due to the media nature of our platform, the growth of our users may not be linear. In general, the penetration of Weibo among internet users in the more economically developed tier 1 and tier 2 cities in China who use Weibo is higher than in other parts of China. Our ability to grow our active user base will depend in part on the success of our strategies to attract additional users from lower-tier cities and towns in China while maintaining or growing our user base in tier 1 and tier 2 cities.</w:t>
      </w:r>
    </w:p>
    <w:p>
      <w:pPr>
        <w:spacing w:after="0" w:line="1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Changes in user engagement could affect our results of operations, especially since we began adding monetization features to our social platform. We need to motivate our users to engage actively on our platform to secure an abundant supply of user-generated content, to entice content creators to share even more content, and to ensure that we have a broad audience for our advertising and marketing services. Video, particularly in the form of short video and live streaming, is gaining more popularity in China and has become an important way for our users to engage and interact on Weibo. Our ability to provide an easy-to-use infrastructure for our users to create and share video as well as consume video will largely impact our user experience.</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continue to enhance Weibo’s user experience and engagement by improving our product features, offering new products, expanding our content offerings through collaboration with platform partners, developing and integrating with applications and continuing to refine Weibo’s SIG recommendation engine to improve content relevance and advertisement targeting capabilities.</w:t>
      </w:r>
    </w:p>
    <w:p>
      <w:pPr>
        <w:spacing w:after="0" w:line="1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Products and Services Innovation. </w:t>
      </w:r>
      <w:r>
        <w:rPr>
          <w:rFonts w:ascii="Times New Roman" w:cs="Times New Roman" w:eastAsia="Times New Roman" w:hAnsi="Times New Roman"/>
          <w:sz w:val="18"/>
          <w:szCs w:val="18"/>
          <w:color w:val="auto"/>
        </w:rPr>
        <w:t>Social media is an innovative and fast-changing field, and we must develop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that meet the disparate needs of users, advertising and marketing customers and platform partners and roll them out on a timely basis while controlling our product development expenses. We plan to continue to make significant investments in product development and refining the capabilities of Weibo’s SIG recommendation engine, and we may invest in or acquire businesses or assets to enhance our products, services and technical capabilities.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Content Ecosystem. </w:t>
      </w:r>
      <w:r>
        <w:rPr>
          <w:rFonts w:ascii="Times New Roman" w:cs="Times New Roman" w:eastAsia="Times New Roman" w:hAnsi="Times New Roman"/>
          <w:sz w:val="18"/>
          <w:szCs w:val="18"/>
          <w:color w:val="auto"/>
        </w:rPr>
        <w:t>Our success depends on our ability to provide users with interesting and useful content, which in turn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depends on the content contributed by our users. Content creators, especially key opinion leaders, contribute content to Weibo to grow their fan base and enhance their influence. We provide content creators with the opportunity to monetize their social assets on Weibo through advertising, e-commerce, subscription, tipping and other means. If content creators do not see significant value from their social marketing activities on Weibo and find monetization on Weibo inadequate, we may have to subsidize them through direct content cost payout, which may have an adverse and material impact on our business, financial condition and operating results. Alternatively, content creators may choose to contribute less or no content to Weibo, which may cause our user base and user engagement to decline and our customers to view our products and services as less attractive for advertising and marketing purposes. If that were to occur, our customers would reduce their spending on our platform.</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Monetization. </w:t>
      </w:r>
      <w:r>
        <w:rPr>
          <w:rFonts w:ascii="Times New Roman" w:cs="Times New Roman" w:eastAsia="Times New Roman" w:hAnsi="Times New Roman"/>
          <w:sz w:val="18"/>
          <w:szCs w:val="18"/>
          <w:color w:val="auto"/>
        </w:rPr>
        <w:t>We generate revenues primarily from customers who purchase advertising and marketing services and, to a lesser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from value-added services. Our monetization model is evolving and sophisticated. Therefore, we are unable to gauge the period-to-period growth of our revenues based on any particular user traffic metric. Furthermore, our ability to monetize our user traffic depends to a large degree on how well the demographic profile and social interests of our users fit the audience profile that our advertising and marketing customers hope to reach at any given time. Our advertising and marketing customers may seek a full spectrum of online advertising and marketing services ranging from brand awareness to interest generation, sales conversion and loyalty marketing. We plan to increase the monetization of our platform by growing our user base and user engagement, and managing advertisement inventory and advertising load more effectively without adversely affecting user experience. Meanwhile, in order to continue to increase the efficiency of monetization, we need to stay innovative to improve the targeting capabilities of our advertising and marketing offerings and develop new advertisement products, formats and capabilities. We also plan to further diversify our monetization through growing value-added services.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exploring various ways of monetization since 2012. For example, in 2017 and 2020, we initiated two rounds of comprehensive revamp on our advertisement system to drive bidding efficiency as well as diversify our advertising offerings. We generate revenues from value-added services primarily by providing membership and game-related services. We have been exploring monetization opportunities in value-added services through investment in various areas, including our acquisition of a company operating several online interactive entertainment apps in China including “Pocket Werewolves” in 2020.</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Infrastructure. </w:t>
      </w:r>
      <w:r>
        <w:rPr>
          <w:rFonts w:ascii="Times New Roman" w:cs="Times New Roman" w:eastAsia="Times New Roman" w:hAnsi="Times New Roman"/>
          <w:sz w:val="18"/>
          <w:szCs w:val="18"/>
          <w:color w:val="auto"/>
        </w:rPr>
        <w:t>Our technology infrastructure is critical to providing users, customers and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access to our platform, particularly during major events when activities on our platform increase substantially. We must continue to upgrade and expand our technology infrastructure to keep pace with the growth of our business and to ensure that technical difficulties do not detract from user experience or deter new users, customers or platform partners from accessing our platform. For example, our users share and consume a lot of content in rich media format, such as photo, video and live streaming, which require more infrastructure capacity, and costs to support, than text feeds. To further expand our capabilities to satisfy technology infrastructure demands, especially those arising from major media events and increasing video usage, we work with third-party service providers to procure bandwidth and other infrastructure services. Our ability to derive greater cost efficiency from infrastructure demands will depend on factors including our ability to negotiate a lower unit price with third-party vendors over time and the mix of services provided by third-party vendors and SINA, our controlling shareholder.</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Brand Promotion. </w:t>
      </w:r>
      <w:r>
        <w:rPr>
          <w:rFonts w:ascii="Times New Roman" w:cs="Times New Roman" w:eastAsia="Times New Roman" w:hAnsi="Times New Roman"/>
          <w:sz w:val="18"/>
          <w:szCs w:val="18"/>
          <w:color w:val="auto"/>
        </w:rPr>
        <w:t>Our brand recognition is key to our growth in both user scale and engagement to achieve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expansion. On top of user base expansion, we have optimized our channel investment strategy along with our product and operational efforts, to focus on enhancing user engagement, which resulted in higher user acquisition efficiency with disciplined sales and marketing spending.</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Talent. </w:t>
      </w:r>
      <w:r>
        <w:rPr>
          <w:rFonts w:ascii="Times New Roman" w:cs="Times New Roman" w:eastAsia="Times New Roman" w:hAnsi="Times New Roman"/>
          <w:sz w:val="18"/>
          <w:szCs w:val="18"/>
          <w:color w:val="auto"/>
        </w:rPr>
        <w:t>Our employee headcount has decreased from 5,268 as of December 31, 2023 to 4,982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increased to 5,651 as of December 31, 2025. Nevertheless, there is still heavy demand in China’s internet industry for talented technical, sales and marketing, management and other personnel with necessary experience and expertise. We must recruit, retain and motivate talented employees while controlling our personnel-related expenses,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the majority of our operating income from our PRC operations and have recorded income tax provisions for the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Maples and Calder (Hong Kong) LLP, our Cayman Islands counsel, 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after execution brought within, the jurisdiction of the Cayman Islands. The Cayman Islands is not a party to any double tax treaties that are applicable to any payments made to or by our company. There are no exchange control regulations or currency restrictions in the Cayman Islands.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subsidiary incorporated in Hong Kong, Weibo HK, is subject to 16.5% Hong Kong profit tax on its taxable income generated from operations in Hong Kong. Commencing from the year of assessment 2018/2019, the first HK$2 million of profits earned by entities incorporated in Hong Kong will be taxed at half the current tax rate (i.e., 8.25%) while the remaining profits will be taxed at the existing 16.5% tax rate. Hong Kong does not impose a withholding tax on dividends. For the years ended December 31, 2024 and 2025, Weibo HK recorded income tax expenses of US$22.1 million and US$43.6 million, respectively, including withholding taxes accrued related to earnings of the Group’s WFOE entities.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PRC subsidiaries, the VIEs and the VIEs’ subsidiaries are incorporated in mainland China and are subject to enterprise income tax on their taxable income in mainland China at a standard rate of 25% if they are not eligible for any preferential tax treatment. Taxable income is based on the entity’s global income as determined under PRC tax laws and accounting standards. Preferential tax treatments will be granted to companies conducting businesses in certain encouraged sectors and to entities qualified as a “software enterprise,” “key software enterprise” and/or “High and New Technology Enterprise.”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Weibo Technology is entitled to a preferential tax rate of 15% because of its qualification as a “High and New Technology Enterprise” with a certificate issued on November 30, 2023. This certificate will expire on November 30, 2026 unless renewed. The “High and New Technology Enterprise” qualification is subject to annual evaluation and a three-year review by the authorities in China. In addition, certain of our other PRC entities also qualify as a “software enterprise,” and/or “High and New Technology Enterprise,” and currently enjoy the respective preferential tax treatments.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laws and regulations, enterprises engaging in research and development activities were entitled to claim 150% of their research and development expenses incurred as tax deductible expenses when determining their assessable profits for that year. The PRC State Taxation Administration announced in September 2018 that enterprises engaging in research and development activities would be entitled to claim 175% of their research and development expenses from January 1, 2018 to December 31, 2020, which was further extended to December 31, 2023 as the PRC State Taxation Administration announced in March 2021. In March 2023, the PRC State Taxation Administration announced that enterprises engaging in research and development activities can claim 200% of their research and development expenses as R&amp;D deduction since January 1,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PRC subsidiaries, VIEs and VIEs’ subsidiaries are also subject to value-added tax and related surcharges at a combined rate of 6.7%. Our advertising and marketing revenues are also subject to cultural business construction fees at a rate of 1.5% for each of the years ended December 31, 2023, 2024 and 2025, respectively.</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Dividends paid by our subsidiaries in China to our intermediary holding company in Hong Kong, Weibo HK, will be subject to PRC withholding tax at a rate of 10% unless they qualify for a reduced tax rate. If Weibo HK satisfies all the requirements under the Arrangement between the Mainland China and the Hong Kong Special Administrative Region on the Avoidance of Double Taxation and Prevention of Fiscal Evasion with respect to Taxes on Income and receives approval from the tax authority, dividends paid by our subsidiaries in China to Weibo HK will be subject to a withholding tax rate of 5% instead. See “Item 3. Key Information—D. Risk Factors—Risks Relating to Doing Business in China—Any limitation on the ability of our PRC subsidiaries to make payments to us, or the tax implications of making payments to us, could have a material adverse effect on our ability to conduct our business or our financial condition.”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holding company in the Cayman Islands, Weibo Corporation, were deemed to be a “PRC resident enterprise” under the Enterprise Income Tax Law, it would be subject to enterprise income tax on its global income at a rate of 25%. See “Item 3. Key Information—D. Risk Factors—Risks Relating to Doing Business in China—We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Weibo Corporation were regarded as a “PRC non-resident enterprise” and Weibo HK were deemed to be a “PRC resident enterprise” under the Enterprise Income Tax Law, dividends payable by Weibo HK to Weibo Corporation may become subject to 10% PRC dividend withholding tax. Furthermore, the dividends distributed from our subsidiaries in China to Weibo HK will not be subject to dividend withholding tax, and Weibo HK would be subject to PRC enterprise income at a rate of 25%. See “Item 3. Key Information—D. Risk Factors—Risks Relating to Doing Business in China—Any limitation on the ability of our PRC subsidiaries to make payments to us, or the tax implications of making payments to us, could have a material adverse effect on our ability to conduct our business or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“2. Significant Accounting Policies” of our audited consolidated financial statements included elsewhere in this annual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This information should be read together with our audited consolidated financial statements and related notes included elsewhere in this annual report on Form 20-F.</w:t>
      </w:r>
    </w:p>
    <w:p>
      <w:pPr>
        <w:spacing w:after="0" w:line="17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24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ind w:left="61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6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 except for per share and per ADS data)</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11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10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Advertising and marketing revenues:</w:t>
            </w:r>
          </w:p>
        </w:tc>
        <w:tc>
          <w:tcPr>
            <w:tcW w:w="11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Third parties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1,344,354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Alibaba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SINA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related parties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Subtotal</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1,534,014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1,498,693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1,501,630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Value-added services revenues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255,984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1,759,836</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1,754,677</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line="202" w:lineRule="exact"/>
              <w:rPr>
                <w:sz w:val="20"/>
                <w:szCs w:val="20"/>
                <w:color w:val="auto"/>
              </w:rPr>
            </w:pPr>
            <w:r>
              <w:rPr>
                <w:rFonts w:ascii="Times New Roman" w:cs="Times New Roman" w:eastAsia="Times New Roman" w:hAnsi="Times New Roman"/>
                <w:sz w:val="16"/>
                <w:szCs w:val="16"/>
                <w:color w:val="auto"/>
              </w:rPr>
              <w:t>Cost of revenues</w:t>
            </w:r>
            <w:r>
              <w:rPr>
                <w:rFonts w:ascii="Times New Roman" w:cs="Times New Roman" w:eastAsia="Times New Roman" w:hAnsi="Times New Roman"/>
                <w:sz w:val="23"/>
                <w:szCs w:val="23"/>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374,279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369,521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480,791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line="202" w:lineRule="exact"/>
              <w:rPr>
                <w:sz w:val="20"/>
                <w:szCs w:val="20"/>
                <w:color w:val="auto"/>
              </w:rPr>
            </w:pPr>
            <w:r>
              <w:rPr>
                <w:rFonts w:ascii="Times New Roman" w:cs="Times New Roman" w:eastAsia="Times New Roman" w:hAnsi="Times New Roman"/>
                <w:sz w:val="16"/>
                <w:szCs w:val="16"/>
                <w:color w:val="auto"/>
              </w:rPr>
              <w:t>Product development</w:t>
            </w:r>
            <w:r>
              <w:rPr>
                <w:rFonts w:ascii="Times New Roman" w:cs="Times New Roman" w:eastAsia="Times New Roman" w:hAnsi="Times New Roman"/>
                <w:sz w:val="23"/>
                <w:szCs w:val="23"/>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333,628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1,286,902</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1,260,353</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1,292,391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472,934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494,324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(12,170)</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 (loss) from investments</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 through earnings on investments,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related impairment and provision</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(23,642)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(93,382)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118,209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123,336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(120,070)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(105,397)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(loss), net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w:t>
            </w:r>
          </w:p>
        </w:tc>
        <w:tc>
          <w:tcPr>
            <w:tcW w:w="1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(4,881)</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 expenses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502,782</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420,655</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income tax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145,287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357,495</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310,105</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Accretion to redeemable non-controlling interests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Weibo’s shareholders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342,598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40" w:type="dxa"/>
            <w:vAlign w:val="bottom"/>
            <w:tcBorders>
              <w:top w:val="single" w:sz="8" w:color="CCEEFF"/>
              <w:right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Shares used in computing net income per share attributable to Weibo’s shareholders:</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235,560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237,324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239,974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265,241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per ordinary share:</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Income per ADS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wp:posOffset>
            </wp:positionV>
            <wp:extent cx="1568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was allocated in costs and expenses as follows: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9"/>
        </w:trPr>
        <w:tc>
          <w:tcPr>
            <w:tcW w:w="2480" w:type="dxa"/>
            <w:vAlign w:val="bottom"/>
          </w:tcPr>
          <w:p>
            <w:pPr>
              <w:spacing w:after="0"/>
              <w:rPr>
                <w:sz w:val="16"/>
                <w:szCs w:val="16"/>
                <w:color w:val="auto"/>
              </w:rPr>
            </w:pPr>
          </w:p>
        </w:tc>
        <w:tc>
          <w:tcPr>
            <w:tcW w:w="4440" w:type="dxa"/>
            <w:vAlign w:val="bottom"/>
          </w:tcPr>
          <w:p>
            <w:pPr>
              <w:ind w:left="42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2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89"/>
              </w:rPr>
              <w:t>(In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US$ thousands)</w:t>
            </w:r>
          </w:p>
        </w:tc>
        <w:tc>
          <w:tcPr>
            <w:tcW w:w="840" w:type="dxa"/>
            <w:vAlign w:val="bottom"/>
          </w:tcPr>
          <w:p>
            <w:pPr>
              <w:spacing w:after="0"/>
              <w:rPr>
                <w:sz w:val="14"/>
                <w:szCs w:val="14"/>
                <w:color w:val="auto"/>
              </w:rPr>
            </w:pPr>
          </w:p>
        </w:tc>
      </w:tr>
      <w:tr>
        <w:trPr>
          <w:trHeight w:val="23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r>
      <w:tr>
        <w:trPr>
          <w:trHeight w:val="229"/>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r>
      <w:tr>
        <w:trPr>
          <w:trHeight w:val="230"/>
        </w:trPr>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w:t>
            </w:r>
          </w:p>
        </w:tc>
      </w:tr>
      <w:tr>
        <w:trPr>
          <w:trHeight w:val="223"/>
        </w:trPr>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101,131</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42,067</w:t>
            </w:r>
          </w:p>
        </w:tc>
      </w:tr>
      <w:tr>
        <w:trPr>
          <w:trHeight w:val="20"/>
        </w:trPr>
        <w:tc>
          <w:tcPr>
            <w:tcW w:w="2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8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ADS represents one Class A ordinary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the majority of our revenues from advertising and marketing services, such as social display advertisements, and promoted marketing. We also generate revenues from value-added services to a lesser extent, mainly including membership and game-related services.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net revenues were US$1,757.2 million in 2025, relatively flat compared to US$1,754.7 million in 2024.</w:t>
      </w:r>
    </w:p>
    <w:p>
      <w:pPr>
        <w:spacing w:after="0" w:line="183" w:lineRule="exact"/>
        <w:rPr>
          <w:sz w:val="20"/>
          <w:szCs w:val="20"/>
          <w:color w:val="auto"/>
        </w:rPr>
      </w:pPr>
    </w:p>
    <w:p>
      <w:pPr>
        <w:jc w:val="both"/>
        <w:ind w:left="1000" w:hanging="317"/>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and Marketing Revenues. </w:t>
      </w:r>
      <w:r>
        <w:rPr>
          <w:rFonts w:ascii="Times New Roman" w:cs="Times New Roman" w:eastAsia="Times New Roman" w:hAnsi="Times New Roman"/>
          <w:sz w:val="18"/>
          <w:szCs w:val="18"/>
          <w:color w:val="auto"/>
        </w:rPr>
        <w:t>Advertising and marketing revenues were US$1,501.6 million in 2025,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relatively flat compared to US$1,498.7 million in 2024. The total number of advertisers was 0.4 million in 2025, compared to 0.6 million in 2024, while the average spending per advertiser (excluding Alibaba) increased by 39% from US$2,438 in 2024 to US$3,385 in 2025, both of which were primarily due to the churn of advertisers with relatively lower advertising budgets.</w:t>
      </w:r>
    </w:p>
    <w:p>
      <w:pPr>
        <w:spacing w:after="0" w:line="14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Revenues from advertising customers (excluding Alibaba) decreased by 4% from US$1,381.9 million in 2024 to US$1,327.8 million in 2025, mainly attributable to fierce market competition. Revenues generated from Alibaba increased by 49% from US$116.8 million in 2024 to US$173.8 million in 2025, driven by deeper collaboration between Alibaba and us during key e-commerce marketing windows. The advertising spending from Alibaba highly correlates to its own business operation, especially its marketing strategies, which fluctuates from time to time.</w:t>
      </w:r>
    </w:p>
    <w:p>
      <w:pPr>
        <w:spacing w:after="0" w:line="145" w:lineRule="exact"/>
        <w:rPr>
          <w:sz w:val="20"/>
          <w:szCs w:val="20"/>
          <w:color w:val="auto"/>
        </w:rPr>
      </w:pPr>
    </w:p>
    <w:p>
      <w:pPr>
        <w:ind w:left="1000" w:right="20" w:hanging="317"/>
        <w:spacing w:after="0" w:line="284"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Value-added Services Revenues. </w:t>
      </w:r>
      <w:r>
        <w:rPr>
          <w:rFonts w:ascii="Times New Roman" w:cs="Times New Roman" w:eastAsia="Times New Roman" w:hAnsi="Times New Roman"/>
          <w:sz w:val="18"/>
          <w:szCs w:val="18"/>
          <w:color w:val="auto"/>
        </w:rPr>
        <w:t>Value-added services revenues were US$255.6 million in 2025, remaining relatively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US$256.0 million in 2024.</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net revenues were US$1,754.7 million in 2024, relatively flat compared to US$1,759.8 million in 2023.</w:t>
      </w:r>
    </w:p>
    <w:p>
      <w:pPr>
        <w:spacing w:after="0" w:line="183" w:lineRule="exact"/>
        <w:rPr>
          <w:sz w:val="20"/>
          <w:szCs w:val="20"/>
          <w:color w:val="auto"/>
        </w:rPr>
      </w:pPr>
    </w:p>
    <w:p>
      <w:pPr>
        <w:jc w:val="both"/>
        <w:ind w:left="1000" w:hanging="317"/>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and Marketing Revenues. </w:t>
      </w:r>
      <w:r>
        <w:rPr>
          <w:rFonts w:ascii="Times New Roman" w:cs="Times New Roman" w:eastAsia="Times New Roman" w:hAnsi="Times New Roman"/>
          <w:sz w:val="18"/>
          <w:szCs w:val="18"/>
          <w:color w:val="auto"/>
        </w:rPr>
        <w:t>Advertising and marketing revenues decreased by 2% from US$1,534.0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US$1,498.7 million in 2024. The total number of advertisers was 0.6 million in 2024, compared to 0.7 million in 2023, while the average spending per advertiser (excluding Alibaba) increased by 14% from US$2,142 in 2023 to US$2,438 in 2024, both of which were primarily due to the churn of advertisers with relatively lower advertising budgets.</w:t>
      </w:r>
    </w:p>
    <w:p>
      <w:pPr>
        <w:spacing w:after="0" w:line="128"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Revenues from advertising customers (excluding Alibaba) decreased by 3% from US$1,422.4 million in 2023 to US$1,381.9 million in 2024, mainly attributable to the market competition and the unfavorable impact from the overall depreciation of RMB against the U.S. dollars in 2024 compared to 2023. Revenues generated from Alibaba increased by 5% from US$111.6 million in 2023 to US$116.8 million in 2024. The advertising spending from Alibaba highly correlates to its own business operation, especially its marketing strategies, which fluctuates from time to time.</w:t>
      </w:r>
    </w:p>
    <w:p>
      <w:pPr>
        <w:spacing w:after="0" w:line="141" w:lineRule="exact"/>
        <w:rPr>
          <w:sz w:val="20"/>
          <w:szCs w:val="20"/>
          <w:color w:val="auto"/>
        </w:rPr>
      </w:pPr>
    </w:p>
    <w:p>
      <w:pPr>
        <w:ind w:left="1000" w:hanging="317"/>
        <w:spacing w:after="0" w:line="284"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Value-added Services Revenues. </w:t>
      </w:r>
      <w:r>
        <w:rPr>
          <w:rFonts w:ascii="Times New Roman" w:cs="Times New Roman" w:eastAsia="Times New Roman" w:hAnsi="Times New Roman"/>
          <w:sz w:val="18"/>
          <w:szCs w:val="18"/>
          <w:color w:val="auto"/>
        </w:rPr>
        <w:t>Value-added services revenues increased by 13% from US$225.8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US$256.0 million in 2024, benefiting from increasing contribution from membership and game-related services.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costs and expenses consist of cost of revenues, sales and marketing, product development, and general and administrative expenses, including costs and expenses allocated from SINA during the presented periods. Cost of revenues consists mainly of costs associated with the maintenance of our platform, such as bandwidth and other infrastructure costs, as well as personnel-related expenses, stock-based compensation, content licensing fees, revenue-share cost, advertisement production cost and turnover taxes levied on our revenues. Sales and marketing expenses consist primarily of marketing and promotional expenses, personnel-related expenses, including commissions, outside services fees and stock-based compensation. Product development expenses consist primarily of personnel-related expenses, stock-based compensation, depreciation expense, outside services fees and infrastructure cost incurred for new product development, product enhancements and back-end systems. General and administrative expenses consist primarily of personnel-related expenses, stock-based compensation, professional services fees and provision/reversal of allowance for credit losses.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costs and expenses increased by 3% from US$1,260.4 million in 2024 to US$1,292.4 million in 2025. We expect our costs and expenses to increase in the absolute amount in the foreseeable future.</w:t>
      </w:r>
    </w:p>
    <w:p>
      <w:pPr>
        <w:spacing w:after="0" w:line="160" w:lineRule="exact"/>
        <w:rPr>
          <w:sz w:val="20"/>
          <w:szCs w:val="20"/>
          <w:color w:val="auto"/>
        </w:rPr>
      </w:pPr>
    </w:p>
    <w:p>
      <w:pPr>
        <w:jc w:val="both"/>
        <w:ind w:left="1000" w:hanging="317"/>
        <w:spacing w:after="0" w:line="259"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by 14% from US$369.5 million in 2024 to US$421.8 million in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an increase of US$51.9 million in advertisement production cost, an increase of US$8.6 million in revenue sharing cost, partially offset by a decrease of US$4.2 million in content cost.</w:t>
      </w:r>
    </w:p>
    <w:p>
      <w:pPr>
        <w:spacing w:after="0" w:line="193" w:lineRule="exact"/>
        <w:rPr>
          <w:rFonts w:ascii="Times New Roman" w:cs="Times New Roman" w:eastAsia="Times New Roman" w:hAnsi="Times New Roman"/>
          <w:sz w:val="18"/>
          <w:szCs w:val="18"/>
          <w:color w:val="auto"/>
        </w:rPr>
      </w:pPr>
    </w:p>
    <w:p>
      <w:pPr>
        <w:jc w:val="both"/>
        <w:ind w:left="1000" w:right="20" w:hanging="317"/>
        <w:spacing w:after="0" w:line="259"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increased by 2% from US$480.8 million in 2024 to US$490.4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The increase mainly resulted from an increase of US$18.3 million in marketing expenses, partially offset by a decrease of US$8.7 million in outside services expenses.</w:t>
      </w:r>
    </w:p>
    <w:p>
      <w:pPr>
        <w:spacing w:after="0" w:line="193"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Our product development expenses increased by 5% from US$308.7 million in 2024 to US$324.2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The increase was mostly attributable to an increase of US$20.5 million in infrastructure cost and an increase of US$9.7 million in staff-related expenses, partially offset by a decrease of US$14.9 million in stock-based compensation expenses.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9"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by 45% from US$101.3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US$55.9 million in 2025. The decrease was mostly caused by a decrease of US$44.5 million in bad debt expense, due to the receipt of previous write-off of allowances for credit losses.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costs and expenses decreased by 2% from US$1,286.9 million in 2023 to US$1,260.4 million in 2024. The decrease was primarily attributable to less stock-based compensation recognized in 2024 compared to that in 2023.</w:t>
      </w:r>
    </w:p>
    <w:p>
      <w:pPr>
        <w:spacing w:after="0" w:line="146" w:lineRule="exact"/>
        <w:rPr>
          <w:sz w:val="20"/>
          <w:szCs w:val="20"/>
          <w:color w:val="auto"/>
        </w:rPr>
      </w:pPr>
    </w:p>
    <w:p>
      <w:pPr>
        <w:jc w:val="both"/>
        <w:ind w:left="1000" w:hanging="317"/>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decreased by 1% from US$374.3 million in 2023 to US$369.5 million in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a decrease of US$7.9 million in bandwidth expenditure, a decrease of US$6.6 million in personnel-related expenses, and a decrease of US$3.4 million in revenue-share cost, partially offset by an increase of US$14.1 million in advertisement production cost.</w:t>
      </w:r>
    </w:p>
    <w:p>
      <w:pPr>
        <w:spacing w:after="0" w:line="166" w:lineRule="exact"/>
        <w:rPr>
          <w:rFonts w:ascii="Times New Roman" w:cs="Times New Roman" w:eastAsia="Times New Roman" w:hAnsi="Times New Roman"/>
          <w:sz w:val="18"/>
          <w:szCs w:val="18"/>
          <w:color w:val="auto"/>
        </w:rPr>
      </w:pPr>
    </w:p>
    <w:p>
      <w:pPr>
        <w:jc w:val="both"/>
        <w:ind w:left="1000" w:right="20" w:hanging="317"/>
        <w:spacing w:after="0" w:line="284"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increased by 4% from US$461.4 million in 2023 to US$480.8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The increase mainly resulted from an increase of US$17.4 million in marketing and promotional expenses.</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Our product development expenses decreased by 7% from US$333.6 million in 2023 to US$308.7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The decrease was mostly attributable to a decrease of US$18.0 million in stock-based compensation and a decrease of US$8.6 million in personnel-related expenses, partially offset by an increase of US$6.2 million in infrastructure cost.</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by 14% from US$117.6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US$101.3 million in 2024. The decrease was mostly caused by a decrease of US$6.9 million in stock-based compensation and a decrease of US$6.7 million in provision of allowance for credit losses.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Related Impairment and Provision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perform impairment assessments of our investments and determine if an investment is impaired due to the changes in quoted market price or other impairment indicators. For a detailed description of accounting treatment of our investment related impairment and the performance of the investments, see “Note 2. Significant Accounting Policies” in the accompanying notes to consolidated financial statements included in this annual report on Form 20-F. We recorded US$23.6 million, US$93.4 million and US$6.0 million in investment related impairment and provision charges in 2023, 2024 and 2025, respectively, due to the unsatisfied financial performance of these investments with no obvious upturn or potential financing solutions in the foreseeable future or them incapable of making repayments in accordance with the respective agreements or adverse changes in their regulatory environment.</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impairment charges primarily included (i) an impairment charge of US$15.9 million on an online education company in 2023, (ii) impairment charges of US$30.0 million on a US-based company manufacturing hydrogen-powered autonomous trucks and of US$49.0 million reflecting increased valuation uncertainty that arose in 2024 associated with the extended transaction timeline of a commercial property investment in 2024, and (iii) an impairment charge of US$3.7 million write-off on a company engaging in online literature business in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3000" w:type="dxa"/>
            <w:vAlign w:val="bottom"/>
            <w:tcBorders>
              <w:bottom w:val="single" w:sz="8" w:color="auto"/>
            </w:tcBorders>
            <w:gridSpan w:val="7"/>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9"/>
        </w:trPr>
        <w:tc>
          <w:tcPr>
            <w:tcW w:w="6920" w:type="dxa"/>
            <w:vAlign w:val="bottom"/>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(In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US$ thousands)</w:t>
            </w:r>
          </w:p>
        </w:tc>
        <w:tc>
          <w:tcPr>
            <w:tcW w:w="840" w:type="dxa"/>
            <w:vAlign w:val="bottom"/>
          </w:tcPr>
          <w:p>
            <w:pPr>
              <w:spacing w:after="0"/>
              <w:rPr>
                <w:sz w:val="14"/>
                <w:szCs w:val="14"/>
                <w:color w:val="auto"/>
              </w:rPr>
            </w:pPr>
          </w:p>
        </w:tc>
      </w:tr>
      <w:tr>
        <w:trPr>
          <w:trHeight w:val="22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116,826</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(120,070)</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(105,397)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(82,442)</w:t>
            </w: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interest expense was mainly caused by the maturity of our 3.5% unsecured senior notes due 2024.</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interest income in 2024 compared to 2023 was primary due to higher interest income recognized for USD-denominated bank time deposits and wealth management products. The decrease in interest expense was mainly caused by the maturity of our 3.5% unsecured senior notes due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Income Taxes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income of Weibo Corporation, its subsidiaries, the VIEs and the VIEs’ subsidiaries as a group before 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28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Pr>
          <w:p>
            <w:pPr>
              <w:ind w:left="66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 except</w:t>
            </w:r>
          </w:p>
        </w:tc>
        <w:tc>
          <w:tcPr>
            <w:tcW w:w="240" w:type="dxa"/>
            <w:vAlign w:val="bottom"/>
            <w:gridSpan w:val="2"/>
          </w:tcPr>
          <w:p>
            <w:pPr>
              <w:spacing w:after="0"/>
              <w:rPr>
                <w:sz w:val="14"/>
                <w:szCs w:val="14"/>
                <w:color w:val="auto"/>
              </w:rPr>
            </w:pPr>
          </w:p>
        </w:tc>
        <w:tc>
          <w:tcPr>
            <w:tcW w:w="8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74"/>
              </w:rPr>
              <w:t>percentage)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non-China operations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(145,244)</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(148,862)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China operations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648,026</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569,517</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606,672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before income tax expenses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502,782</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420,655</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605,596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applicable to non-China operations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applicable to China operations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99,846</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87,879</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100,654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110,550</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144,521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for China operations</w:t>
            </w:r>
          </w:p>
        </w:tc>
        <w:tc>
          <w:tcPr>
            <w:tcW w:w="10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15.4 %</w:t>
            </w:r>
          </w:p>
        </w:tc>
        <w:tc>
          <w:tcPr>
            <w:tcW w:w="10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15.4 %</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Effective tax rate for the Group </w:t>
            </w:r>
            <w:r>
              <w:rPr>
                <w:rFonts w:ascii="Times New Roman" w:cs="Times New Roman" w:eastAsia="Times New Roman" w:hAnsi="Times New Roman"/>
                <w:sz w:val="26"/>
                <w:szCs w:val="26"/>
                <w:color w:val="auto"/>
                <w:vertAlign w:val="superscript"/>
              </w:rPr>
              <w:t>(1)</w:t>
            </w: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28.9 %</w:t>
            </w:r>
          </w:p>
        </w:tc>
        <w:tc>
          <w:tcPr>
            <w:tcW w:w="10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26.3 %</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244"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Weibo Corporation, its subsidiaries, the VIEs and VIEs’ subsidiaries together are referred to as “the Group.”</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recorded income tax expenses of US$145.3 million, US$110.6 million and US$144.5 million in 2023, 2024 and 2025, respectively. The provision for income taxes for China operations differs from the amounts computed by applying the statutory enterprise income tax rate mostly due to the preferential tax treatment that Weibo Technology enjoyed as a qualified “High and New Technology Enterprise” during the periods presented. Weibo Technology was entitled to a tax reduction of US$42.2 million, US$38.0 million and US$30.9 million for the “High and New Technology Enterprise” status in 2023, 2024 and 2025, respectively. Furthermore, Weibo Technology and other qualified entities within our group recognized tax benefits of research and development super-deduction of US$22.2 million, US$22.3 million and US$18.2 million in 2023, 2024 and 2025, respectively.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loss from non-China operations primarily included stock-based compensation, fair value changes through earnings on investments, investment-related impairment and provision, and interest expenses recorded by our non-China entities. The substantial majority of these items were recognized by our non-China entities in the Cayman Islands, which is a tax free jurisdiction.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2025, the management revisited our reinvestment plan and expanded the distribution scope from Weibo Technology to all WFOEs under Weibo HK. The increase of income tax expense in 2025 compared to 2024 was due to the US$41.9 million withholding tax accrued by Weibo HK in respect of retained earnings generated by Weibo Technology in 2025 and cumulative retained earnings from its other WFOE entities up to 2025. In 2024, we accrued a $22.1 million withholding tax related to Weibo Technology’s earnings for 2024.</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decrease of income tax expense in 2024 compared to 2023 was due to the accrual of withholding tax related to the earnings of the WFOE. In 2023, we cumulatively accrued a $43.7 million withholding tax related to the WFOE’s earnings for 2023 and certain years prior to 2023. The WFOE reinvested the remaining accumulated net profits as of December 31, 2022 in its PRC operations for the development and growth of the business. In 2024, we accrued a $22.1 million withholding tax related to the WFOE’s earnings for 2024.</w:t>
      </w:r>
    </w:p>
    <w:p>
      <w:pPr>
        <w:spacing w:after="0" w:line="142" w:lineRule="exact"/>
        <w:rPr>
          <w:sz w:val="20"/>
          <w:szCs w:val="20"/>
          <w:color w:val="auto"/>
        </w:rPr>
      </w:pPr>
    </w:p>
    <w:p>
      <w:pPr>
        <w:ind w:right="7040" w:firstLine="8"/>
        <w:spacing w:after="0" w:line="532" w:lineRule="auto"/>
        <w:tabs>
          <w:tab w:leader="none" w:pos="389"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Liquidity and Capital Resources Cash Flows and Working Capital</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sets forth the movements of our cash and cash equivalents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3000" w:type="dxa"/>
            <w:vAlign w:val="bottom"/>
            <w:tcBorders>
              <w:bottom w:val="single" w:sz="8" w:color="auto"/>
            </w:tcBorders>
            <w:gridSpan w:val="7"/>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89"/>
        </w:trPr>
        <w:tc>
          <w:tcPr>
            <w:tcW w:w="6920" w:type="dxa"/>
            <w:vAlign w:val="bottom"/>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88"/>
              </w:rPr>
              <w:t>(In US$ thousands)</w:t>
            </w:r>
          </w:p>
        </w:tc>
        <w:tc>
          <w:tcPr>
            <w:tcW w:w="2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672,820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639,898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519,479</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(736,846)</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(246,900)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66,617</w:t>
            </w:r>
          </w:p>
        </w:tc>
      </w:tr>
      <w:tr>
        <w:trPr>
          <w:trHeight w:val="22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(1,029,439)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(227,293)</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(63,797)</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(57,562)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49,506</w:t>
            </w:r>
          </w:p>
        </w:tc>
      </w:tr>
      <w:tr>
        <w:trPr>
          <w:trHeight w:val="223"/>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(106,133)</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(694,003)</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408,309</w:t>
            </w:r>
          </w:p>
        </w:tc>
      </w:tr>
      <w:tr>
        <w:trPr>
          <w:trHeight w:val="230"/>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2,690,768</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2,584,635</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1,890,632</w:t>
            </w:r>
          </w:p>
        </w:tc>
      </w:tr>
      <w:tr>
        <w:trPr>
          <w:trHeight w:val="223"/>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2,584,635</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1,890,632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2,298,941</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our total cash, cash equivalents and short-term investments were US$3,225.7 million, US$2,350.5 million and US$2,405.1 million, respectively. Our principal sources of liquidity have been net proceeds from cash from operations and issuance of convertible senior notes.</w:t>
      </w:r>
    </w:p>
    <w:p>
      <w:pPr>
        <w:spacing w:after="0" w:line="176" w:lineRule="exact"/>
        <w:rPr>
          <w:sz w:val="20"/>
          <w:szCs w:val="20"/>
          <w:color w:val="auto"/>
        </w:rPr>
      </w:pPr>
    </w:p>
    <w:p>
      <w:pPr>
        <w:jc w:val="both"/>
        <w:ind w:left="1000" w:hanging="317"/>
        <w:spacing w:after="0" w:line="25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our cash, cash equivalents and short-term investments as of December 31, 2025 compared to that of December 31, 2024, was primarily due to US$519.5 million in cash provided by operating activities, partially offset by net dividends paid to shareholders of US$195.6 million. As of December 31, 2025, our consolidated affiliated entities in mainland China held US$2,028.5 million of cash, cash equivalents and short-term investments, including US$836.9 million held by the VIEs and VIEs’ subsidiaries. The remaining cash and short-term investments balance of US$376.5 million was held by our entities outside mainland China.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000" w:hanging="317"/>
        <w:spacing w:after="0" w:line="253"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our cash, cash equivalents and short-term investments as of December 31, 2024 compared to that of December 31, 2023, was primarily due to repayment of 2024 Senior Notes of US$800 million and net dividends paid to shareholders of US$194.4 million, partially offset by US$639.9 million in cash provided by operating activities. As of December 31, 2024, our consolidated affiliated entities in mainland China held US$1,488.2 million of cash, cash equivalents and short-term investments, including US$773.3 million held by the VIEs and VIEs’ subsidiaries. The remaining cash and short-term investments balance of US$862.3 million was held by our entities outside mainland China.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balance as of December 31, 2025 is sufficient to fund our operating activities, capital expenditures and other obligations for at least the next twelve months. 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utilizing the cash that we hold offshore, we may (i) make additional capital contributions to our PRC subsidiaries, (ii) establish new PRC subsidiaries and make capital contributions to these new PRC subsidiaries, (iii) make loans to our PRC subsidiaries, or (iv) acquire and/or invest in offshore entities with business operations in China in offshore transactions. However, most of these uses are subject to PRC regulations and/or approvals. For example, loans we make to our PRC subsidiaries, which are foreign-invested enterprise, to finance their activities cannot exceed statutory limits and must be registered with SAFE or its local branches. See “Item 4. Information on the Company—B. Business Overview—Regulation—Regulations on Foreign Exchange.”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Substantially all of our future revenues are likely to continue to be in the form of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See “Item 3. Key Information—D. Risk Factors—Risks Relating to Doing Business in China —Restrictions on the remittance of RMB into and out of China and governmental control of currency conversion may limit our ability to pay dividends and other obligations, and affect the value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2025 was US$519.5 million. The difference between net cash provided by operating activities and our net income of US$461.1 million in 2025 was primarily due to a non-cash charge of US$59.1 million of depreciation and amortization, a non-cash charge of US$55.9 million deferred income taxes, a non-cash charge of US$42.1 million of stock-based compensation, an increase of US$69.9 million in accounts payable, a decrease of US$26.0 million in prepaid expenses and other current assets, partially offset by a non-cash gain of US$76.7 million from equity method investments, a non-cash reversal of US$32.1 million of allowance for credit losses, a non-cash gain of US$21.3 million from fair value change of investments, an increase of US$36.4 million in other non-current assets and a decrease of US$28.4 million in accrued and other liabilities.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 2024 was US$639.9 million. The difference between net cash provided by operating activities and our net income of US$310.1 million in 2024 was primarily due to a non-cash investment related impairment and provision of US$93.4 million, a non-cash charge of US$69.7 million of stock-based compensation, a non-cash charge of US$58.1 million of depreciation and amortization, and a decrease of US$70.8 million in accounts receivable from third parties, partially offset by a decrease of US$27.1 million in income tax payable, an increase of US$23.2 million in other non-current assets, and a non-cash gain of US$18.6 million from fair value change of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 2023 was US$672.8 million. The difference between net cash provided by operating activities and our net income of US$357.5 million in 2023 was primarily due to a non-cash charge of US$101.1 million of stock-based compensation, a non-cash charge of US$58.5 million of depreciation and amortization, an increase of US$40.7 million in income taxes payable, a decrease of US$30.7 million in amount due from SINA, a non-cash charge of US$24.0 million deferred income taxes, a non-cash investment related impairment and provision of US$23.6 million, an increase of US$19.7 million in accounts payable, and a non-cash charge of US$19.1 million of provision of allowance for credit losses, partially offset by a non-cash gain of US$43.0 million from fair value change of investments.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in 2025 was US$66.6 million. This was primarily attributable to maturities of bank time deposits and wealth management products of US$1,920.9 million, proceeds from the disposal and refund of prepayment on long-term investments of US$37.5 million, partially offset by purchases of bank time deposits and wealth management products of US$1,760.2 million, cash paid on long-term investments of US$110.1 million, purchase of property and equipment of US$42.4 million.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2024 was US$246.9 million. This was primarily attributable to purchases of bank time deposits and wealth management products of US$1,608.8 million, cash paid on long-term investments of US$79.8 million, purchase of property and equipment of US$61.5 million, partially offset by maturities of bank time deposits and wealth management products of US$1,410.3 million and proceeds from the disposal and refund of prepayment on long-term investments of US$93.2 million.</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2023 was US$736.8 million. This was primarily attributable to cash paid on long-term investments of US$602.7 million, purchases of bank time deposits and wealth management products of US$755.3 million, net cash paid for acquisitions of US$243.4 million, partially offset by maturities of bank time deposits and wealth management products of US$585.5 million and proceeds from the disposal and refund of prepayment on long-term investments of US$347.8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2025 was US$227.3 million, which primarily consisted of net dividends paid to shareholders of US$195.6 million and purchase of a subsidiary’s shares from non-controlling shareholders of US$22.4 million.</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2024 was US$1,029.4 million, which primarily consisted of repayment of 2024 Senior Notes of US$800.0 million and net dividends paid to shareholders of US$194.4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2023 was US$21.7 million, which primarily consisted of proceeds from the offering of 2030 Convertible Notes (net of issuance cost) of US$321.7 million, partially offset by dividends paid to shareholders of US$200.1 million and repayment of 2027 Loans of US$100.0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loans to SINA were presented under investing activities in the consolidated statements of cash flows. Cash payment for billings from SINA for costs and expenses allocated was presented under operating activities in the consolidated statements of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primarily include our capital expenditures, operating lease obligations, purchase commitments, and obligations under our 2030 Senior Notes, 2027 Loans and 2030 Convertible Notes.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primarily consist of purchases of servers, computers, and other office equipment. Our capital expenditures were US$36.8 million in 2023, US$61.5 million in 2024 and US$42.4 million in 2025. We will continue to make capital expenditures to support the operation of our business.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lease obligations consist of the commitments under the lease agreements for our office premises and operation spaces. We lease our office facilities under non-cancelable operating leases with various expiration dates. Our leasing expense was US$19.5 million, US$18.5 million and US$18.4 million for the years ended December 31, 2023, 2024 and 2025, respectively. The majority of our operating lease commitments are related to lease agreements for our office and operation spaces in China.</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Purchase commitments primarily consist of minimum commitments for marketing activities and internet connection. As of December 31, 2025, our purchase commitments were US$612.1 million.</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2030 Senior Notes represents future maximum commitment relating to the principal amount and interests in connection with the issuance of US$750 million in aggregate principal amount of senior notes bearing an annual interest rate of 3.375%, which will mature on July 8, 2030.</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August 2022, we signed a five-year US$1.2 billion term and revolving facilities agreement with a group of 23 arrangers. The facilities consist of a US$900 million five-year bullet maturity term loan and a US$300 million five-year revolving facility. Each loan bears a floating rate of interest per annum benchmarked against secured overnight financing rate (SOFR) plus 1.28%. We refer to these together as the 2027 Loans. We have fully withdrawn the US$900 million bullet maturity term loan as of December 31, 2025, and repaid US$100 million bullet maturity term loan in the fourth quarter of 2023. We repaid the US$5 million previously borrowed under the revolving facility in the third quarter of 2025 and subsequently cancelled the revolving facility. The proceeds from the facilities were used for refinancing of the indebtedness existing then, general corporate purposes and payment of transaction related fees and expenses.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2030 Convertible Notes represents future maximum commitment relating to the principal amount and interests in connection with the issuance of US$330 million in aggregate principal amount of convertible senior notes bearing an annual interest rate of 1.375%, which will mature on December 1, 2030. In order to facilitate the short positions by some holders of the 2030 Convertible Notes for purposes of hedging their investment in these notes, we lent 6,233,785 ADSs to an affiliate of the initial purchaser of our 2030 Convertible Notes.</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We will continue to make cash commitments, including capital expenditures, to support the operation of our business.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that have or are reasonably likely to have any effect on our financial condition, changes in financial condition, revenues or expenses, results of operations, liquidity, cash requirements or capital resources. We have not entered into any off-balance sheet derivative instruments. We have not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Weibo Corporation is a holding company that conducts its operations primarily through PRC subsidiaries (WFOE entities), the VIEs and their subsidiaries, all of which are incorporated in China. As a result, our ability to pay dividends depends upon dividends paid to us by Weibo Technology and the Company’s other WFOE entities. If Weibo Technology or any newly formed subsidiaries of our company incur debt on their own behalf in the future, the instruments governing their debt may restrict their ability to pay dividends to us. In addition, PRC subsidiaries are permitted to pay dividends to us only out of their retained earnings, if any, as determined in accordance with PRC accounting standards and regulations. Under the PRC law, each of our PRC subsidiaries, the VIEs and their subsidiaries is required to set aside at least 10% of its after-tax profits each year, if any, to fund certain statutory reserve funds until such reserve funds reach 50% of its registered capital. In addition, each of our PRC subsidiaries, the VIEs and their subsidiaries may allocate a portion of its after-tax profits based on PRC accounting standards to staff welfare and bonus funds, a discretionary surplus fund and an enterprise expansion fund at its discretion or in accordance with its articles of association. These reserve funds and staff welfare and bonus funds are not distributable as cash dividends. As of December 31, 2025, the amount restricted, including paid-in capital, as determined in accordance with PRC accounting standards and regulations, was US$728.3 million. In the fourth quarter of 2023, Weibo Technology distributed cash dividend of US$406.1 million (in equivalent of RMB2.97 billion) to Weibo Hong Kong Limited, including withholding tax of US$20.5 million paid directly to the PRC tax authorities, based on partial of the accumulated net profits of the WFOE related to the years before 2023. For the year ended December 31, 2024, the WFOE distributed cash dividend of US$401.6 million (in equivalent of RMB2.93 billion) in the fourth quarter of 2024 to Weibo Hong Kong Limited, including withholding tax of US$20.1 million paid directly to the PRC tax authorities, based on the net profits of the WFOE related to the year of 2023. For the year ended December 31, 2025, the management revisited the reinvestment plan and expanded the distribution scope from Weibo Technology to all WFOEs under Weibo HK. Weibo HK accrued withholding tax of US$41.9 million in respect of retained earnings generated by Weibo Technology in 2025 and cumulative retained earnings from its other WFOE entities up to 2025. Earnings from these WFOE entities have been and are expected to continue to be remitted to Weibo HK to satisfy its US dollar requirements for business operations and potential investments. Distributions made by the WFOE to Weibo Hong Kong Limited is subject to a 5% withholding tax under the Enterprise Income Tax Law, due to the tax treaty arrangement between Mainland China and Hong Kong.</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00" w:hanging="392"/>
        <w:spacing w:after="0"/>
        <w:tabs>
          <w:tab w:leader="none" w:pos="4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has benefited from our continuous efforts in protecting our intellectual property, including patents, trademarks, copyrights and trade secrets. See “Item 4. Information on the Company—B. Business Overview—Intellectual Property” for a description on the protection of our intellectual property.</w:t>
      </w:r>
    </w:p>
    <w:p>
      <w:pPr>
        <w:spacing w:after="0" w:line="179" w:lineRule="exact"/>
        <w:rPr>
          <w:sz w:val="20"/>
          <w:szCs w:val="20"/>
          <w:color w:val="auto"/>
        </w:rPr>
      </w:pPr>
    </w:p>
    <w:p>
      <w:pPr>
        <w:ind w:left="400" w:hanging="392"/>
        <w:spacing w:after="0"/>
        <w:tabs>
          <w:tab w:leader="none" w:pos="4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effect on our revenues, income, profitability, liquidity or capital resources, or that would cause the disclosed financial information to be not necessarily indicative of future operating results or financial conditions.</w:t>
      </w:r>
    </w:p>
    <w:p>
      <w:pPr>
        <w:spacing w:after="0" w:line="162" w:lineRule="exact"/>
        <w:rPr>
          <w:sz w:val="20"/>
          <w:szCs w:val="20"/>
          <w:color w:val="auto"/>
        </w:rPr>
      </w:pPr>
    </w:p>
    <w:p>
      <w:pPr>
        <w:ind w:left="400" w:hanging="392"/>
        <w:spacing w:after="0"/>
        <w:tabs>
          <w:tab w:leader="none" w:pos="4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spacing w:after="0" w:line="1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 xml:space="preserve">For a detailed discussion of our significant accounting policies and related judgments, see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Note 2. Significant Accounting Policies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in the accompanying notes to consolidated financial statements included in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r>
        <w:rPr>
          <w:rFonts w:ascii="Georgia" w:cs="Georgia" w:eastAsia="Georgia" w:hAnsi="Georgia"/>
          <w:sz w:val="18"/>
          <w:szCs w:val="18"/>
          <w:b w:val="1"/>
          <w:bCs w:val="1"/>
          <w:color w:val="auto"/>
        </w:rPr>
        <w:t>–</w:t>
      </w:r>
      <w:r>
        <w:rPr>
          <w:rFonts w:ascii="Times New Roman" w:cs="Times New Roman" w:eastAsia="Times New Roman" w:hAnsi="Times New Roman"/>
          <w:sz w:val="18"/>
          <w:szCs w:val="18"/>
          <w:b w:val="1"/>
          <w:bCs w:val="1"/>
          <w:color w:val="auto"/>
        </w:rPr>
        <w:t>Loans to and interest receivable from a related party</w:t>
      </w:r>
    </w:p>
    <w:p>
      <w:pPr>
        <w:spacing w:after="0" w:line="22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Nature of the estimates required. </w:t>
      </w:r>
      <w:r>
        <w:rPr>
          <w:rFonts w:ascii="Times New Roman" w:cs="Times New Roman" w:eastAsia="Times New Roman" w:hAnsi="Times New Roman"/>
          <w:sz w:val="18"/>
          <w:szCs w:val="18"/>
          <w:color w:val="auto"/>
        </w:rPr>
        <w:t>Effective January 1, 2020, we adopted ASC 326: Financial instruments - Credit losses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us to record the full amount of expected credit losses for the life of a financial asset at the time it is originated or acquired, and adjusted for changes in expected lifetime credit losses subsequently, which requires earlier recognition of credit losses.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 Used. </w:t>
      </w:r>
      <w:r>
        <w:rPr>
          <w:rFonts w:ascii="Times New Roman" w:cs="Times New Roman" w:eastAsia="Times New Roman" w:hAnsi="Times New Roman"/>
          <w:sz w:val="18"/>
          <w:szCs w:val="18"/>
          <w:color w:val="auto"/>
        </w:rPr>
        <w:t>We make periodic collective assessments as well as individual assessment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recoverability based on historical settlement records and past experiences incorporating forward-looking information. Our management estimates the allowance for credit losses on loans and interest receivable not sharing similar risk characteristics on an individual basis. The key assumptions used in the process of estimating the provision for credit losses include portfolio composition, probability of default, loss given default, and application of macroeconomic forecasts. The key factors considered when determining the above allowances for credit losses related to the fair values of the assets of the borrowers.</w:t>
      </w:r>
    </w:p>
    <w:p>
      <w:pPr>
        <w:spacing w:after="0" w:line="18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Sensitivity Analysis. </w:t>
      </w:r>
      <w:r>
        <w:rPr>
          <w:rFonts w:ascii="Times New Roman" w:cs="Times New Roman" w:eastAsia="Times New Roman" w:hAnsi="Times New Roman"/>
          <w:sz w:val="18"/>
          <w:szCs w:val="18"/>
          <w:color w:val="auto"/>
        </w:rPr>
        <w:t>The estimate of expected credit losses is sensitive to our assumptions in these factors. When one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of probability of default and loss given default and application of macroeconomic forecasts decreased or increased by 2% while holding all other estimates constant, there would be no significant impact to our consolidated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2025, the credit losses on loans to and interest receivable from a related party was nil. For more information regarding expected credit losses and for additional information regarding the allowance for credit losses for loans to and interest receivable from a related party, see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Note 10. Related Party Transactions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and </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Note 2. Significant Accounting Policies</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 xml:space="preserve"> in the accompanying notes to consolidated financial statements included in this annual report on Form 20-F.</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Assessments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Goodwill is subject to periodic assessments of impairment. We test goodwill for impairment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annually, or when an event occurs or circumstances change that indicate the asset may be impaired. We assess qualitative factors to determine whether it is necessary to perform the quantitative goodwill impairment test, by taking into consideration of macroeconomics, overall financial performance, industry and market conditions and our share price. If determined to be necessary, the quantitative impairment test shall be used to identify goodwill impairment and measure the amount of a goodwill impairment loss to be recognized, if 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two reporting units, namely, the advertising and marketing reporting unit and the value-added services reporting unit. As of December 31, 2025, goodwill balance associated with the advertising and marketing reporting unit was US$76.1 million and goodwill balance associated with the value-added services reporting unit was US$93.2 million.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 Used. </w:t>
      </w:r>
      <w:r>
        <w:rPr>
          <w:rFonts w:ascii="Times New Roman" w:cs="Times New Roman" w:eastAsia="Times New Roman" w:hAnsi="Times New Roman"/>
          <w:sz w:val="18"/>
          <w:szCs w:val="18"/>
          <w:color w:val="auto"/>
        </w:rPr>
        <w:t>The application of a goodwill impairment assessment involves significant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particularly in assessing the fair value of the reporting units. We utilize a discounted cash flow model to ascertain the fair value of these reporting units. Key assumptions utilized in estimating the fair value of the reporting units include revenue growth rates and discount rates. Changes in these assumptions could materially affect the determination of the fair value for each reporting unit.</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Sensitivity Analysis. </w:t>
      </w:r>
      <w:r>
        <w:rPr>
          <w:rFonts w:ascii="Times New Roman" w:cs="Times New Roman" w:eastAsia="Times New Roman" w:hAnsi="Times New Roman"/>
          <w:sz w:val="18"/>
          <w:szCs w:val="18"/>
          <w:color w:val="auto"/>
        </w:rPr>
        <w:t>The estimate of fair value of the reporting units are currently not overly sensitive to our assumptions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factors. When one of our estimates of revenue growth rates and discount rates decreased or increased by 200 or more basis points while holding all other estimates constant, there would be no impairment.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a sustained relatively low stock price was deemed as an impairment indicator, and we performed quantitative analyses as of December 31, 2025. A third-party valuation firm was engaged to help management determine the fair value of the two reporting units by applying a discounted cash flow model. We concluded that there was no impairment of goodwill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00" w:hanging="392"/>
        <w:spacing w:after="0"/>
        <w:tabs>
          <w:tab w:leader="none" w:pos="4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our directors and executive officers as of the date of this annual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 of our company.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Guowei Chao</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Hong Du</w:t>
            </w:r>
          </w:p>
        </w:tc>
        <w:tc>
          <w:tcPr>
            <w:tcW w:w="200" w:type="dxa"/>
            <w:vAlign w:val="bottom"/>
          </w:tcPr>
          <w:p>
            <w:pPr>
              <w:spacing w:after="0"/>
              <w:rPr>
                <w:sz w:val="19"/>
                <w:szCs w:val="19"/>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 Liu</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Pochin Christopher Lu</w:t>
            </w:r>
          </w:p>
        </w:tc>
        <w:tc>
          <w:tcPr>
            <w:tcW w:w="200" w:type="dxa"/>
            <w:vAlign w:val="bottom"/>
          </w:tcPr>
          <w:p>
            <w:pPr>
              <w:spacing w:after="0"/>
              <w:rPr>
                <w:sz w:val="19"/>
                <w:szCs w:val="19"/>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Pehong Chen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68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Gaofei Wang</w:t>
            </w:r>
          </w:p>
        </w:tc>
        <w:tc>
          <w:tcPr>
            <w:tcW w:w="200" w:type="dxa"/>
            <w:vAlign w:val="bottom"/>
          </w:tcPr>
          <w:p>
            <w:pPr>
              <w:spacing w:after="0"/>
              <w:rPr>
                <w:sz w:val="19"/>
                <w:szCs w:val="19"/>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Wang</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Fei Cao</w:t>
            </w:r>
          </w:p>
        </w:tc>
        <w:tc>
          <w:tcPr>
            <w:tcW w:w="200" w:type="dxa"/>
            <w:vAlign w:val="bottom"/>
          </w:tcPr>
          <w:p>
            <w:pPr>
              <w:spacing w:after="0"/>
              <w:rPr>
                <w:sz w:val="19"/>
                <w:szCs w:val="19"/>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 Wang</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Zenghui Cao</w:t>
            </w:r>
          </w:p>
        </w:tc>
        <w:tc>
          <w:tcPr>
            <w:tcW w:w="200" w:type="dxa"/>
            <w:vAlign w:val="bottom"/>
          </w:tcPr>
          <w:p>
            <w:pPr>
              <w:spacing w:after="0"/>
              <w:rPr>
                <w:sz w:val="20"/>
                <w:szCs w:val="20"/>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48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w:t>
            </w:r>
          </w:p>
        </w:tc>
      </w:tr>
      <w:tr>
        <w:trPr>
          <w:trHeight w:val="873"/>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800" w:type="dxa"/>
            <w:vAlign w:val="bottom"/>
          </w:tcPr>
          <w:p>
            <w:pPr>
              <w:spacing w:after="0"/>
              <w:rPr>
                <w:sz w:val="24"/>
                <w:szCs w:val="24"/>
                <w:color w:val="auto"/>
              </w:rPr>
            </w:pPr>
          </w:p>
        </w:tc>
      </w:tr>
      <w:tr>
        <w:trPr>
          <w:trHeight w:val="560"/>
        </w:trPr>
        <w:tc>
          <w:tcPr>
            <w:tcW w:w="3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Charles Guowei Chao </w:t>
      </w:r>
      <w:r>
        <w:rPr>
          <w:rFonts w:ascii="Times New Roman" w:cs="Times New Roman" w:eastAsia="Times New Roman" w:hAnsi="Times New Roman"/>
          <w:sz w:val="18"/>
          <w:szCs w:val="18"/>
          <w:color w:val="auto"/>
        </w:rPr>
        <w:t>has served as our Chairman of the board of directors since our inception. He has served as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of SINA from August 2012 to March 2021 and continues to serve as the director of SINA since March 2021. He has been SINA’s Chief Executive Officer since May 2006. He served as SINA’s President from September 2005 to February 2013, Chief Financial Officer from February 2001 to May 2006, Co-Chief Operating Officer from July 2004 to September 2005. Prior to joining SINA, Mr. Chao served as an audit manager at PricewaterhouseCoopers, LLP. Prior to that, Mr. Chao was a news correspondent at Shanghai Media Group. Mr. Chao holds a B.A. in Journalism from Fudan University in Shanghai, China, an M.A. degree from the University of Oklahoma and a Master of Professional Accounting degree from the University of Texas at Austin.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Hong Du </w:t>
      </w:r>
      <w:r>
        <w:rPr>
          <w:rFonts w:ascii="Times New Roman" w:cs="Times New Roman" w:eastAsia="Times New Roman" w:hAnsi="Times New Roman"/>
          <w:sz w:val="18"/>
          <w:szCs w:val="18"/>
          <w:color w:val="auto"/>
        </w:rPr>
        <w:t>has served as our director since January 2014. Since February 2013, Ms. Du has served as SINA’s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Ms. Du joined SINA in November 1999 and worked in Business Development until April 2004. From May 2004 to January 2005, Ms. Du served as Deputy General Manager of 1Pai.com, a joint venture between SINA and Yahoo! Ms. Du rejoined SINA in January 2005 and served as the General Manager of Sales Strategy from January 2005 to March 2005, General Manager of Sales from April 2005 to August 2005, Vice President of Sales from September 2005 to February 2007, Senior Vice President of Sales and Marketing from February 2007 to February 2008, and Chief Operating Officer from February 2008 to February 2013. Ms. Du is a director of Playtika Holding Corp. (Nasdaq: PLTK) since January 2022. Ms. Du holds a B.S. in Applied Chemistry from Harbin Institute of Technology and an M.S. in Business Administration from Lincoln University.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 Liu </w:t>
      </w:r>
      <w:r>
        <w:rPr>
          <w:rFonts w:ascii="Times New Roman" w:cs="Times New Roman" w:eastAsia="Times New Roman" w:hAnsi="Times New Roman"/>
          <w:sz w:val="18"/>
          <w:szCs w:val="18"/>
          <w:color w:val="auto"/>
        </w:rPr>
        <w:t>has served as our director since August 2023. Mr. Liu is currently the Vice President of Alibaba Group;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Tmall; President of Alimama; and President of e-commerce livestreaming business group of Alibaba. He was appointed as the Vice President of Alibaba Group in March 2020. He joined Alibaba in 2005 and held various positions, including the head of Alimama business group of Alibaba, the head of Taobao and Tmall Marketing Department, the President of Taobao University, General Manager of Juhuasuan, and General Manager of Tmall’s Operations Division. Mr. Liu received his bachelor’s degree in Aviation Mechanical Design from Zhengzhou University of Aeronautics and held an EMBA degree in Business Administration from the Chinese University of Hong Kong.</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Pochin Christopher Lu </w:t>
      </w:r>
      <w:r>
        <w:rPr>
          <w:rFonts w:ascii="Times New Roman" w:cs="Times New Roman" w:eastAsia="Times New Roman" w:hAnsi="Times New Roman"/>
          <w:sz w:val="18"/>
          <w:szCs w:val="18"/>
          <w:color w:val="auto"/>
        </w:rPr>
        <w:t>has served as our independent director since August 2020. Mr. Lu has served as the Executive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Foxconn Interconnect Technology Ltd., a company listed on the Hong Kong Stock Exchange (HKEX: 6088) and global leader in the supply of precision components, since March 16, 2015. Mr. Lu is also the Global Cooperating Officer and Chief Financial Officer of Foxconn Interconnect Technology Ltd. From January 1981 to December 2014, Mr. Lu served multiple executive positions at Deloitte Touche Tohmatsu Limited, including the Chief Executive Officer of Deloitte China and a member of the Deloitte Touche Tohmatsu Limited Global Executive Committee. Mr. Lu is an independent non-executive director at Honma Golf Limited, a Hong Kong Stock Exchange-listed company (HKEX: 6858) that manufactures and distributes golf products. He is a member of the American Institute of Certified Public Accountants and the Chinese Institute of Certified Public Accountants. Mr. Lu obtained a Bachelor of Science degree in accounting and a master of accounting science degree from the University of Illinois at Urbana-Champaign, USA, in 1980 and 1981, respectively.</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Pehong Chen </w:t>
      </w:r>
      <w:r>
        <w:rPr>
          <w:rFonts w:ascii="Times New Roman" w:cs="Times New Roman" w:eastAsia="Times New Roman" w:hAnsi="Times New Roman"/>
          <w:sz w:val="18"/>
          <w:szCs w:val="18"/>
          <w:color w:val="auto"/>
        </w:rPr>
        <w:t>has served as our independent director since January 2016. Before that he served as a director of SINA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1999 and December 2015. Dr. Pehong Chen is Founder and Chairman of BroadVision Group, a global holding company that incubates and invests in cloud, AI, fintech, medtech, biotech, health-tech, and other innovative technologies and digital transformation initiatives. Previously, he was Founder, President, and CEO of BroadVision, Inc. (acquired by Aurea Software in 2020) from 1993 to 2020 and of Gain Technology, Inc. (acquired by Sybase in 1992) from 1988 to 1992. Mr. Chen received a B.S. in engineering from National Taiwan University, a master of science degree from Indiana University and a Ph.D. in Computer Science from the University of California at Berkeley.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Gaofei Wang </w:t>
      </w:r>
      <w:r>
        <w:rPr>
          <w:rFonts w:ascii="Times New Roman" w:cs="Times New Roman" w:eastAsia="Times New Roman" w:hAnsi="Times New Roman"/>
          <w:sz w:val="18"/>
          <w:szCs w:val="18"/>
          <w:color w:val="auto"/>
        </w:rPr>
        <w:t>has served as our Chief Executive Officer since February 2014 and our director since August 2020.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Mr. Wang has had various product and business development roles at Weibo and was promoted to General Manager in December 2012. Mr. Wang joined SINA in August 2000 and worked in the product development department until early 2004 when he transferred to the SINA Mobile division. He served as General Manager of SINA Mobile division from November 2006 to November 2012. Mr. Wang has served as an independent non-executive director of a Hong Kong Stock Exchange-listed company, Distinct Healthcare Holdings Limited (HKEX: 02677), since February 2026. Mr. Wang is a director of DiDi Global Inc. since June 2021. Mr. Wang holds a B.S. degree in Computer Science from Peking University and an EMBA degree from Guanghua School of Management of Peking University.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Yan Wang </w:t>
      </w:r>
      <w:r>
        <w:rPr>
          <w:rFonts w:ascii="Times New Roman" w:cs="Times New Roman" w:eastAsia="Times New Roman" w:hAnsi="Times New Roman"/>
          <w:sz w:val="18"/>
          <w:szCs w:val="18"/>
          <w:color w:val="auto"/>
        </w:rPr>
        <w:t>has served as our independent director since May 2021. Previously, he had served as a director of SINA since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2003, including as SINA’s Vice Chairman of the board and Chairman of the board from May 2006 to August 2012 and as an independent director of SINA from August 2012 to March 2021. Before that, he served as SINA’s Chief Executive Officer from May 2003 to May 2006, its President from June 2001 to May 2003, its General Manager of China operations from September 1999 to May 2001 and as its Executive Deputy General Manager for production and business development in China from April 1999 to August 1999. In April 1996, Mr. Wang founded the SRSnet.com division of Beijing Stone Rich Sight Limited (currently known as Beijing SINA Information Technology Co., Ltd.), one of SINA’s subsidiaries. From April 1996 to April 1999, Mr. Wang served as the Head of SINA’s SRS Internet Group. Mr. Wang has also served as the independent non-executive director, the Chairman of the remuneration committee, the member of the audit committee and the nomination committee of a Hong Kong Stock Exchange-listed company, Viva Goods Company Limited (HKEX: 0933) (formerly known as Viva China Holdings Limited), since July 2017. Mr. Wang holds a B.A. in Law and Master in International Relations from the Université Paris-Panthéon-Assas (formerly known as University of Paris II).</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Fei Cao </w:t>
      </w:r>
      <w:r>
        <w:rPr>
          <w:rFonts w:ascii="Times New Roman" w:cs="Times New Roman" w:eastAsia="Times New Roman" w:hAnsi="Times New Roman"/>
          <w:sz w:val="18"/>
          <w:szCs w:val="18"/>
          <w:color w:val="auto"/>
        </w:rPr>
        <w:t>has served as our Chief Financial Officer since March 2021. Ms. Cao served as our Vice President, Finance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2017 to March 2021. Prior to that, Ms. Cao was a Vice President of SINA from January 2017 to July 2017, overseeing SINA’s finance department. Ms. Cao joined SINA in 2005 and served as the company’s Corporate Controller for more than ten years. Prior to joining SINA, she was an audit manager at the PricewaterhouseCoopers in Beijing. Ms. Cao is currently a director of Tian Ge Interactive Holdings Limited, a Hong Kong Stock Exchange-listed (HKEX: 1980) live social video company in China, and a director of INMYSHOW Digital Technology (Group) Co., Ltd., a Shanghai Stock Exchange-listed company (SSE: 600556) providing social and new media marketing services. Ms. Cao holds a B.S. in engineering and an EMBA degree from Shanghai Jiao Tong University. She is a certified public accountant in China and a member of the China Institute of Certified Public Accountants.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Wei Wang </w:t>
      </w:r>
      <w:r>
        <w:rPr>
          <w:rFonts w:ascii="Times New Roman" w:cs="Times New Roman" w:eastAsia="Times New Roman" w:hAnsi="Times New Roman"/>
          <w:sz w:val="18"/>
          <w:szCs w:val="18"/>
          <w:color w:val="auto"/>
        </w:rPr>
        <w:t>has served as our Chief Operating Officer since March 2021. Mr. Wang has been in charge of SINA Mobile’s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since January 2019. From January 2016 to December 2018, he served as Chief Information Officer of SINA. Mr. Wang joined SINA in March 2000 and served as the General Manager of Information Systems Department until December 2015. Prior to joining SINA, he worked at PricewaterhouseCoopers, LLP. Mr. Wang holds a B.A. in German from Fudan University.</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Zenghui Cao </w:t>
      </w:r>
      <w:r>
        <w:rPr>
          <w:rFonts w:ascii="Times New Roman" w:cs="Times New Roman" w:eastAsia="Times New Roman" w:hAnsi="Times New Roman"/>
          <w:sz w:val="18"/>
          <w:szCs w:val="18"/>
          <w:color w:val="auto"/>
        </w:rPr>
        <w:t>has served as our Senior Vice President, Operation since April 2018. Mr. Cao joined us in September 2009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Director of Operation from September 2009 to March 2013, General Manager of Operation from April 2013 to March 2015, and Vice President of Operation from April 2015 to September 2017. Mr. Cao joined SINA in September 2002 and served as Chief Editor and other roles in SINA Technology Channel from September 2002 to August 2009. Prior to joining SINA, Mr. Cao worked at Sohu. Mr. Cao holds a B.S. in Electrical Engineering and Automation from Hebei University of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Two directors of our company are also executive officers of SINA and another director of our company is an executive officer of Alibaba. These relationships could create, or appear to create, conflicts of interest when these persons are faced with decisions with potentially different implications for SINA/Alibaba and us. If we have any conflicts of interest with SINA or Alibaba, we may not resolve such conflicts on favorable terms for us because of their significant ownership interest in us and the overlapping director and officer positions at both companies.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Bo Liu was appointed as a director of our company pursuant to the Shareholders Agreement by Ali WB, SINA and us.</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we paid an aggregate of approximately US$5.5 million in cash and benefits to our executive officers, and we paid US$0.4 million cash compensation to our eligible non-executive directors. For share incentive grants to our officers and directors, see “Item 6. Directors, Senior Management and Employees—B. Compensation—Share Incentive Plans.” We have not set aside or accrued any amount to provide pension, retirement or other similar benefits to our executive officers and directors.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PRC subsidiaries, the VIEs and their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entered into employment agreements with our senior executive officers. Pursuant to these agreements, we may terminate a senior executive officer’s employment for cause at any time without remuneration for certain acts of the officer, such as being convicted of any criminal conduct, any act of gross or willful misconduct or any serious, willful, grossly negligent or persistent breach of any employment agreement provision, or engaging in any conduct which may make the continued employment of such officer detrimental to our company. In connection with the employment agreement, each senior executive officer has entered into an intellectual property ownership and confidentiality agreement and agreed to hold all information, know-how and records in any way connected with the products of our company, including, without limitation, all software and computer formulae, designs, specifications, drawings, data, manuals and instructions and all customer and supplier lists, sales and financial information, business plans and forecasts, all technical solutions and the trade secrets of our company, in strict confidence perpetually. Each officer has also agreed that we shall own all the intellectual property developed by such officer during his or her employment.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secrets of our clients or prospective clients, or the confidential or proprietary information of any third party we received and for which we have confidential obligations.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Specifically, each executive officer has agreed not to (a) approach our clients, advertisers or contacts or other persons or entities introduced to the executive officer for the purpose of doing business with such persons or entities that will harm our business relationships with these persons or entities; (b) assume employment with or provide services to any of our competitors, or engage, whether as principal, partner, licensor or otherwise, any of our competitors; or (c) seek directly or indirectly, to solicit the services of any of our employees who is employed by us on or after the date of the executive officer’s termination, or in the year preceding such termination.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adopted our 2023 Share Incentive Plan, or the 2023 Plan, in March 2023. Concurrent with the adoption of our 2023 Plan, we terminated a share incentive plan adopted in 2014, or the 2014 Plan, and all ordinary shares reserved but unissued as of February 28, 2023 under the 2014 Plan were transferred to the 2023 Plan. The awards previously granted and outstanding under the 2014 Plan and the evidencing original award agreements survived the termination of the 2014 Plan and will remain effective until the expiration of their original terms, as may be amended from time to time. Since the adoption of the 2023 Plan, we have not issued and will not issue any share incentive awards under the 2014 Plan.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maximum aggregate number of shares which may be issued pursuant to all awards under the 2023 Plan is 11,622,313, being the sum of 10,000,000 shares and all ordinary shares reserved but unissued as of February 28, 2023 under the 2014 Plan.</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 aggregate of 6,881,721 options and 209,304 restricted share units were granted and outstanding under the 2014 Plan and the 2023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2023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2023 Plan permits the awards of options, restricted shares and restricted share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Our board or a committee of one or more members of our board duly authorized for the purpose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Plan can act as the plan administrator.</w:t>
      </w:r>
    </w:p>
    <w:p>
      <w:pPr>
        <w:spacing w:after="0" w:line="15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Options, restricted shares or restricted share units granted under the 2023 Plan are evidenced by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sets forth the terms, conditions and limitations for each grant.</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Price and Purchase Price. </w:t>
      </w:r>
      <w:r>
        <w:rPr>
          <w:rFonts w:ascii="Times New Roman" w:cs="Times New Roman" w:eastAsia="Times New Roman" w:hAnsi="Times New Roman"/>
          <w:sz w:val="18"/>
          <w:szCs w:val="18"/>
          <w:color w:val="auto"/>
        </w:rPr>
        <w:t>The exercise price in respect of any option shall be determined by the plan administrator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set forth in the award 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our employees, consultants or directors, employees of our parent company and subsidiaries.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of the Awards. </w:t>
      </w:r>
      <w:r>
        <w:rPr>
          <w:rFonts w:ascii="Times New Roman" w:cs="Times New Roman" w:eastAsia="Times New Roman" w:hAnsi="Times New Roman"/>
          <w:sz w:val="18"/>
          <w:szCs w:val="18"/>
          <w:color w:val="auto"/>
        </w:rPr>
        <w:t>The 2023 Plan shall be valid and effective for a period of ten years from the date of effectiveness. The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option grant shall not exceed ten years from the date of the grant.</w:t>
      </w:r>
    </w:p>
    <w:p>
      <w:pPr>
        <w:spacing w:after="0" w:line="11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award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each award recipient.</w:t>
      </w:r>
    </w:p>
    <w:p>
      <w:pPr>
        <w:spacing w:after="0" w:line="11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Unless otherwise provided by applicable law and by the award agreement, awards under the 2023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be transferred in any manner by the award holders and may be exercised only by such holders, subject to limited exceptions.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w:t>
      </w:r>
      <w:r>
        <w:rPr>
          <w:rFonts w:ascii="Times New Roman" w:cs="Times New Roman" w:eastAsia="Times New Roman" w:hAnsi="Times New Roman"/>
          <w:sz w:val="18"/>
          <w:szCs w:val="18"/>
          <w:color w:val="auto"/>
        </w:rPr>
        <w:t>The plan administrator may at any time terminate the operation of the 2023 Plan.</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outstanding options and restricted share units that we granted to our directors, executive officers and other grantees in the aggregate under the 2014 Plan and the 2023 Plan: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9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  Share Units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(US$/Share)   ​​​</w:t>
            </w:r>
          </w:p>
        </w:tc>
        <w:tc>
          <w:tcPr>
            <w:tcW w:w="2520" w:type="dxa"/>
            <w:vAlign w:val="bottom"/>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0"/>
        </w:trPr>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Chao</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US$21.15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16, 2022</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17, 2029</w:t>
            </w:r>
          </w:p>
        </w:tc>
      </w:tr>
      <w:tr>
        <w:trPr>
          <w:trHeight w:val="229"/>
        </w:trPr>
        <w:tc>
          <w:tcPr>
            <w:tcW w:w="16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US$2.69</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2032</w:t>
            </w:r>
          </w:p>
        </w:tc>
      </w:tr>
      <w:tr>
        <w:trPr>
          <w:trHeight w:val="23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Du</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14,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Bo Liu</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Pehong Chen</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6, 2023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Pochin Christopher Lu</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Gaofei Wang</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US$21.15</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16, 2022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17, 2029</w:t>
            </w:r>
          </w:p>
        </w:tc>
      </w:tr>
      <w:tr>
        <w:trPr>
          <w:trHeight w:val="230"/>
        </w:trPr>
        <w:tc>
          <w:tcPr>
            <w:tcW w:w="16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US$2.69</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2032</w:t>
            </w:r>
          </w:p>
        </w:tc>
      </w:tr>
      <w:tr>
        <w:trPr>
          <w:trHeight w:val="23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Wang</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14,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Fei Cao</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US$21.15</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 2022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17, 2029</w:t>
            </w:r>
          </w:p>
        </w:tc>
      </w:tr>
      <w:tr>
        <w:trPr>
          <w:trHeight w:val="230"/>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US$2.69</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2032</w:t>
            </w: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Wei Wang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US$21.15</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 2022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17, 2029</w:t>
            </w:r>
          </w:p>
        </w:tc>
      </w:tr>
      <w:tr>
        <w:trPr>
          <w:trHeight w:val="230"/>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US$2.69</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2032</w:t>
            </w: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Zenghui Cao</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US$32.68</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14, 2020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2027</w:t>
            </w:r>
          </w:p>
        </w:tc>
      </w:tr>
      <w:tr>
        <w:trPr>
          <w:trHeight w:val="230"/>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US$21.15</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16, 2022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17, 2029</w:t>
            </w:r>
          </w:p>
        </w:tc>
      </w:tr>
      <w:tr>
        <w:trPr>
          <w:trHeight w:val="230"/>
        </w:trPr>
        <w:tc>
          <w:tcPr>
            <w:tcW w:w="16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US$3.87</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6, 2023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7, 2030</w:t>
            </w:r>
          </w:p>
        </w:tc>
      </w:tr>
      <w:tr>
        <w:trPr>
          <w:trHeight w:val="230"/>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US$2.93</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31,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 2032</w:t>
            </w:r>
          </w:p>
        </w:tc>
      </w:tr>
      <w:tr>
        <w:trPr>
          <w:trHeight w:val="2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Other grantees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From July 27, 2021 to April 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680" w:type="dxa"/>
            <w:vAlign w:val="bottom"/>
          </w:tcPr>
          <w:p>
            <w:pPr>
              <w:spacing w:after="0"/>
              <w:rPr>
                <w:sz w:val="21"/>
                <w:szCs w:val="21"/>
                <w:color w:val="auto"/>
              </w:rPr>
            </w:pPr>
          </w:p>
        </w:tc>
        <w:tc>
          <w:tcPr>
            <w:tcW w:w="12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2"/>
                <w:szCs w:val="12"/>
                <w:color w:val="auto"/>
              </w:rPr>
              <w:t>(1)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30"/>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US$32.68</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14, 2020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15, 2027</w:t>
            </w:r>
          </w:p>
        </w:tc>
      </w:tr>
      <w:tr>
        <w:trPr>
          <w:trHeight w:val="230"/>
        </w:trPr>
        <w:tc>
          <w:tcPr>
            <w:tcW w:w="16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US$21.15</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 2022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17, 2029</w:t>
            </w:r>
          </w:p>
        </w:tc>
      </w:tr>
      <w:tr>
        <w:trPr>
          <w:trHeight w:val="211"/>
        </w:trPr>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From July 6, 2023 to October 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r>
      <w:tr>
        <w:trPr>
          <w:trHeight w:val="248"/>
        </w:trPr>
        <w:tc>
          <w:tcPr>
            <w:tcW w:w="16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US$3.87</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From July 7, 2030 to October 24, 2030</w:t>
            </w:r>
          </w:p>
        </w:tc>
      </w:tr>
      <w:tr>
        <w:trPr>
          <w:trHeight w:val="230"/>
        </w:trPr>
        <w:tc>
          <w:tcPr>
            <w:tcW w:w="16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US$2.38</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17, 2024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18, 2031</w:t>
            </w:r>
          </w:p>
        </w:tc>
      </w:tr>
      <w:tr>
        <w:trPr>
          <w:trHeight w:val="230"/>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US$2.69</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2032</w:t>
            </w:r>
          </w:p>
        </w:tc>
      </w:tr>
      <w:tr>
        <w:trPr>
          <w:trHeight w:val="230"/>
        </w:trPr>
        <w:tc>
          <w:tcPr>
            <w:tcW w:w="16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US$2.39</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 2025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 2032</w:t>
            </w:r>
          </w:p>
        </w:tc>
      </w:tr>
      <w:tr>
        <w:trPr>
          <w:trHeight w:val="229"/>
        </w:trPr>
        <w:tc>
          <w:tcPr>
            <w:tcW w:w="1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US$2.93</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31, 2025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 2032</w:t>
            </w:r>
          </w:p>
        </w:tc>
      </w:t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7,091,025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10"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of our total outstanding shares.</w:t>
      </w:r>
    </w:p>
    <w:p>
      <w:pPr>
        <w:spacing w:after="0" w:line="231"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share units.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consists of seven directors. A director is not required to hold any shares in our company to qualify to serve as a director. A director who to his/her knowledge is in any way, whether directly or indirectly, interested in a contract or arrangement or proposed contract or arrangement with our company is required to declare the nature of his/her interest at the meeting of our board at which the question of entering into the contract or arrangement is first considered, if he/she knows his/her interest then exists, or in any other case at the first meeting of our board after he/she knows that he/she is or has become so interested. Following such a declaration being made, subject to any separate requirement for audit committee approval under applicable law or the Listing Rules of The Nasdaq Stock Market, and unless disqualified by the chairman of any specific board meeting, a director may vote in respect of any contract or proposed contract or arrangement in which such director is interested and may be counted in the quorum at such meeting. Our board of directors may exercise all our powers of the company to raise or borrow or to secure the payment of any sum or sums of money for the purposes of our company and to mortgage or charge our undertaking, property and assets (present and future) and uncalled capital or any part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and a compensation committee under the board of directors and adopted a charter for each of these committees. Each committee’s members and functions are described below.</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Mr. Pochin Christopher Lu and Mr. Pehong Chen, and is chaired by Mr. Lu.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Lu and Mr. Chen satisfy the “independence” requirements of Rule 5605(c)(2) of the Listing Rules of The Nasdaq Stock Market and meet the independence standards under Rule 10A-3 under the Exchange Act. We have determined that Mr. Lu qualifies as an “audit committee financial expert.” As a Cayman Islands company, we are permitted to rely on the home country exemption under Nasdaq rules to reduce the size of our audit committee to two members. An audit committee of two independent directors would satisfy Rule 5605(c)</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 We have elected to follow home country practice in terms of the number of audit committee members. The audit committee oversees our accounting and financial reporting processes and the audits of the financial statements of our company. The audit committee is responsible for, among other things:</w:t>
      </w:r>
    </w:p>
    <w:p>
      <w:pPr>
        <w:spacing w:after="0" w:line="172" w:lineRule="exact"/>
        <w:rPr>
          <w:sz w:val="20"/>
          <w:szCs w:val="20"/>
          <w:color w:val="auto"/>
        </w:rPr>
      </w:pPr>
    </w:p>
    <w:p>
      <w:pPr>
        <w:ind w:left="1000" w:right="2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 and any special audit steps adopted in light of material control deficiencies;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Pehong Chen and Mr. Yan Wang, and is chaired by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Chen. Mr. Chen and Mr. Wang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7" w:lineRule="exact"/>
        <w:rPr>
          <w:sz w:val="20"/>
          <w:szCs w:val="20"/>
          <w:color w:val="auto"/>
        </w:rPr>
      </w:pPr>
    </w:p>
    <w:p>
      <w:pPr>
        <w:ind w:left="1000" w:right="20" w:hanging="31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its approval, the total compensation package for our chief executive officers and the other executive officers;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non-employee directors;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and the class rights vested thereunder in the holders of the shares. We have the right to seek damages if a duty owed by our directors is breached. In limited exceptional circumstances, a shareholder may have the right to seek damages in our name if a duty owed by our directors is breached. You should refer to “Item 10. Additional Information—B. Memorandum and Articles of Association—Differences in Corporate Law” for additional information on our standard of corporate governance under Cayman Islands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Our directors may be appointed by the board or by the shareholders through ordinary resolutions. Any director appointed by the board to fill a vacancy or as a new addition to the board shall hold office only until our first annual general meeting after his or her appointment and shall then be eligible for re-election at that meeting. At each annual general meeting of our company, one-third of our directors at the time,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be determined by lot, unless they otherwise agree between themselves. A retiring director shall retain office until the close of the meeting at which he retires, and shall be eligible for re-election at the annual general meeting. A director (including a managing director or executive director) may be removed at any time before the expiration of this director’s term of office by an ordinary resolution of our shareholders. A director will be removed from office automatically if, among other things, the director (1) becomes bankrupt or has a receiving order made against him/her or suspends payment or compounds with his/her creditors generally; (2) an order is made by any competent court or official on the grounds that he/she is or may be suffering from mental disorder or is otherwise incapable of managing his/her affairs and the board of directors resolves that his/her office be vacated; (3) without leave, is absent from meetings of the board for a continuous period of 12 months, and the board resolves that his/her office be vacated; (4) ceases to be or is prohibited from being a director by law or by virtue of any provisions in our articles of association; or (5) is removed from office by notice in writing served upon him/her signed by not less than three-fourths in number (or, if that is not a round number, the nearest lower round number) of our directors (including himself/herself) then in office. In addition, Ali WB Investment Holding Limited has obtained certain board representation rights. See “Item 7. Major Shareholders and Related Party Transactions—B. Related Party Transactions— Our Relationship with Alibaba.”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6301105" cy="3188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1105" cy="318897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31, 2026)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7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3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People’s Republic of China</w:t>
            </w:r>
          </w:p>
        </w:tc>
        <w:tc>
          <w:tcPr>
            <w:tcW w:w="1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94"/>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2"/>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Private Issuer</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2"/>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No</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2"/>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01"/>
        </w:trPr>
        <w:tc>
          <w:tcPr>
            <w:tcW w:w="4740" w:type="dxa"/>
            <w:vAlign w:val="bottom"/>
            <w:tcBorders>
              <w:right w:val="single" w:sz="8" w:color="auto"/>
            </w:tcBorders>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spacing w:after="0"/>
              <w:rPr>
                <w:sz w:val="17"/>
                <w:szCs w:val="17"/>
                <w:color w:val="auto"/>
              </w:rPr>
            </w:pPr>
          </w:p>
        </w:tc>
        <w:tc>
          <w:tcPr>
            <w:tcW w:w="980" w:type="dxa"/>
            <w:vAlign w:val="bottom"/>
            <w:shd w:val="clear" w:color="auto" w:fill="D9D9D9"/>
          </w:tcPr>
          <w:p>
            <w:pPr>
              <w:spacing w:after="0"/>
              <w:rPr>
                <w:sz w:val="17"/>
                <w:szCs w:val="17"/>
                <w:color w:val="auto"/>
              </w:rPr>
            </w:pPr>
          </w:p>
        </w:tc>
        <w:tc>
          <w:tcPr>
            <w:tcW w:w="320" w:type="dxa"/>
            <w:vAlign w:val="bottom"/>
            <w:tcBorders>
              <w:right w:val="single" w:sz="8" w:color="auto"/>
            </w:tcBorders>
            <w:shd w:val="clear" w:color="auto" w:fill="D9D9D9"/>
          </w:tcPr>
          <w:p>
            <w:pPr>
              <w:spacing w:after="0"/>
              <w:rPr>
                <w:sz w:val="17"/>
                <w:szCs w:val="17"/>
                <w:color w:val="auto"/>
              </w:rPr>
            </w:pPr>
          </w:p>
        </w:tc>
        <w:tc>
          <w:tcPr>
            <w:tcW w:w="1300" w:type="dxa"/>
            <w:vAlign w:val="bottom"/>
            <w:tcBorders>
              <w:right w:val="single" w:sz="8" w:color="auto"/>
            </w:tcBorders>
            <w:shd w:val="clear" w:color="auto" w:fill="D9D9D9"/>
          </w:tcPr>
          <w:p>
            <w:pPr>
              <w:spacing w:after="0"/>
              <w:rPr>
                <w:sz w:val="17"/>
                <w:szCs w:val="17"/>
                <w:color w:val="auto"/>
              </w:rPr>
            </w:pPr>
          </w:p>
        </w:tc>
        <w:tc>
          <w:tcPr>
            <w:tcW w:w="1280" w:type="dxa"/>
            <w:vAlign w:val="bottom"/>
            <w:shd w:val="clear" w:color="auto" w:fill="D9D9D9"/>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Did Not</w:t>
            </w:r>
          </w:p>
        </w:tc>
        <w:tc>
          <w:tcPr>
            <w:tcW w:w="20" w:type="dxa"/>
            <w:vAlign w:val="bottom"/>
          </w:tcPr>
          <w:p>
            <w:pPr>
              <w:spacing w:after="0"/>
              <w:rPr>
                <w:sz w:val="17"/>
                <w:szCs w:val="17"/>
                <w:color w:val="auto"/>
              </w:rPr>
            </w:pPr>
          </w:p>
        </w:tc>
      </w:tr>
      <w:tr>
        <w:trPr>
          <w:trHeight w:val="216"/>
        </w:trPr>
        <w:tc>
          <w:tcPr>
            <w:tcW w:w="4740" w:type="dxa"/>
            <w:vAlign w:val="bottom"/>
            <w:tcBorders>
              <w:right w:val="single" w:sz="8" w:color="auto"/>
            </w:tcBorders>
            <w:shd w:val="clear" w:color="auto" w:fill="D9D9D9"/>
          </w:tcPr>
          <w:p>
            <w:pPr>
              <w:spacing w:after="0"/>
              <w:rPr>
                <w:sz w:val="18"/>
                <w:szCs w:val="18"/>
                <w:color w:val="auto"/>
              </w:rPr>
            </w:pP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980" w:type="dxa"/>
            <w:vAlign w:val="bottom"/>
            <w:shd w:val="clear" w:color="auto" w:fill="D9D9D9"/>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320" w:type="dxa"/>
            <w:vAlign w:val="bottom"/>
            <w:tcBorders>
              <w:right w:val="single" w:sz="8" w:color="auto"/>
            </w:tcBorders>
            <w:shd w:val="clear" w:color="auto" w:fill="D9D9D9"/>
          </w:tcPr>
          <w:p>
            <w:pPr>
              <w:spacing w:after="0"/>
              <w:rPr>
                <w:sz w:val="18"/>
                <w:szCs w:val="18"/>
                <w:color w:val="auto"/>
              </w:rPr>
            </w:pP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28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c>
          <w:tcPr>
            <w:tcW w:w="20" w:type="dxa"/>
            <w:vAlign w:val="bottom"/>
          </w:tcPr>
          <w:p>
            <w:pPr>
              <w:spacing w:after="0"/>
              <w:rPr>
                <w:sz w:val="18"/>
                <w:szCs w:val="18"/>
                <w:color w:val="auto"/>
              </w:rPr>
            </w:pPr>
          </w:p>
        </w:tc>
      </w:tr>
      <w:tr>
        <w:trPr>
          <w:trHeight w:val="265"/>
        </w:trPr>
        <w:tc>
          <w:tcPr>
            <w:tcW w:w="4740" w:type="dxa"/>
            <w:vAlign w:val="bottom"/>
            <w:tcBorders>
              <w:bottom w:val="single" w:sz="8" w:color="D9D9D9"/>
              <w:right w:val="single" w:sz="8" w:color="auto"/>
            </w:tcBorders>
            <w:shd w:val="clear" w:color="auto" w:fill="D9D9D9"/>
          </w:tcPr>
          <w:p>
            <w:pPr>
              <w:spacing w:after="0"/>
              <w:rPr>
                <w:sz w:val="23"/>
                <w:szCs w:val="23"/>
                <w:color w:val="auto"/>
              </w:rPr>
            </w:pPr>
          </w:p>
        </w:tc>
        <w:tc>
          <w:tcPr>
            <w:tcW w:w="1300" w:type="dxa"/>
            <w:vAlign w:val="bottom"/>
            <w:tcBorders>
              <w:bottom w:val="single" w:sz="8" w:color="D9D9D9"/>
              <w:right w:val="single" w:sz="8" w:color="auto"/>
            </w:tcBorders>
            <w:shd w:val="clear" w:color="auto" w:fill="D9D9D9"/>
          </w:tcPr>
          <w:p>
            <w:pPr>
              <w:spacing w:after="0"/>
              <w:rPr>
                <w:sz w:val="23"/>
                <w:szCs w:val="23"/>
                <w:color w:val="auto"/>
              </w:rPr>
            </w:pPr>
          </w:p>
        </w:tc>
        <w:tc>
          <w:tcPr>
            <w:tcW w:w="980" w:type="dxa"/>
            <w:vAlign w:val="bottom"/>
            <w:tcBorders>
              <w:bottom w:val="single" w:sz="8" w:color="D9D9D9"/>
            </w:tcBorders>
            <w:shd w:val="clear" w:color="auto" w:fill="D9D9D9"/>
          </w:tcPr>
          <w:p>
            <w:pPr>
              <w:spacing w:after="0"/>
              <w:rPr>
                <w:sz w:val="23"/>
                <w:szCs w:val="23"/>
                <w:color w:val="auto"/>
              </w:rPr>
            </w:pPr>
          </w:p>
        </w:tc>
        <w:tc>
          <w:tcPr>
            <w:tcW w:w="320" w:type="dxa"/>
            <w:vAlign w:val="bottom"/>
            <w:tcBorders>
              <w:bottom w:val="single" w:sz="8" w:color="D9D9D9"/>
              <w:right w:val="single" w:sz="8" w:color="auto"/>
            </w:tcBorders>
            <w:shd w:val="clear" w:color="auto" w:fill="D9D9D9"/>
          </w:tcPr>
          <w:p>
            <w:pPr>
              <w:spacing w:after="0"/>
              <w:rPr>
                <w:sz w:val="23"/>
                <w:szCs w:val="23"/>
                <w:color w:val="auto"/>
              </w:rPr>
            </w:pPr>
          </w:p>
        </w:tc>
        <w:tc>
          <w:tcPr>
            <w:tcW w:w="1300" w:type="dxa"/>
            <w:vAlign w:val="bottom"/>
            <w:tcBorders>
              <w:bottom w:val="single" w:sz="8" w:color="D9D9D9"/>
              <w:right w:val="single" w:sz="8" w:color="auto"/>
            </w:tcBorders>
            <w:shd w:val="clear" w:color="auto" w:fill="D9D9D9"/>
          </w:tcPr>
          <w:p>
            <w:pPr>
              <w:spacing w:after="0"/>
              <w:rPr>
                <w:sz w:val="23"/>
                <w:szCs w:val="23"/>
                <w:color w:val="auto"/>
              </w:rPr>
            </w:pPr>
          </w:p>
        </w:tc>
        <w:tc>
          <w:tcPr>
            <w:tcW w:w="128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Pr>
          <w:p>
            <w:pPr>
              <w:spacing w:after="0"/>
              <w:rPr>
                <w:sz w:val="23"/>
                <w:szCs w:val="23"/>
                <w:color w:val="auto"/>
              </w:rPr>
            </w:pPr>
          </w:p>
        </w:tc>
      </w:tr>
      <w:tr>
        <w:trPr>
          <w:trHeight w:val="277"/>
        </w:trPr>
        <w:tc>
          <w:tcPr>
            <w:tcW w:w="4740" w:type="dxa"/>
            <w:vAlign w:val="bottom"/>
            <w:tcBorders>
              <w:top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300" w:type="dxa"/>
            <w:vAlign w:val="bottom"/>
            <w:tcBorders>
              <w:top w:val="single" w:sz="8" w:color="auto"/>
              <w:right w:val="single" w:sz="8" w:color="D9D9D9"/>
            </w:tcBorders>
            <w:shd w:val="clear" w:color="auto" w:fill="D9D9D9"/>
          </w:tcPr>
          <w:p>
            <w:pPr>
              <w:spacing w:after="0"/>
              <w:rPr>
                <w:sz w:val="24"/>
                <w:szCs w:val="24"/>
                <w:color w:val="auto"/>
              </w:rPr>
            </w:pPr>
          </w:p>
        </w:tc>
        <w:tc>
          <w:tcPr>
            <w:tcW w:w="980" w:type="dxa"/>
            <w:vAlign w:val="bottom"/>
            <w:tcBorders>
              <w:top w:val="single" w:sz="8" w:color="auto"/>
            </w:tcBorders>
            <w:shd w:val="clear" w:color="auto" w:fill="D9D9D9"/>
          </w:tcPr>
          <w:p>
            <w:pPr>
              <w:spacing w:after="0"/>
              <w:rPr>
                <w:sz w:val="24"/>
                <w:szCs w:val="24"/>
                <w:color w:val="auto"/>
              </w:rPr>
            </w:pPr>
          </w:p>
        </w:tc>
        <w:tc>
          <w:tcPr>
            <w:tcW w:w="320" w:type="dxa"/>
            <w:vAlign w:val="bottom"/>
            <w:tcBorders>
              <w:top w:val="single" w:sz="8" w:color="auto"/>
              <w:right w:val="single" w:sz="8" w:color="D9D9D9"/>
            </w:tcBorders>
            <w:shd w:val="clear" w:color="auto" w:fill="D9D9D9"/>
          </w:tcPr>
          <w:p>
            <w:pPr>
              <w:spacing w:after="0"/>
              <w:rPr>
                <w:sz w:val="24"/>
                <w:szCs w:val="24"/>
                <w:color w:val="auto"/>
              </w:rPr>
            </w:pPr>
          </w:p>
        </w:tc>
        <w:tc>
          <w:tcPr>
            <w:tcW w:w="1300" w:type="dxa"/>
            <w:vAlign w:val="bottom"/>
            <w:tcBorders>
              <w:top w:val="single" w:sz="8" w:color="auto"/>
              <w:right w:val="single" w:sz="8" w:color="D9D9D9"/>
            </w:tcBorders>
            <w:shd w:val="clear" w:color="auto" w:fill="D9D9D9"/>
          </w:tcPr>
          <w:p>
            <w:pPr>
              <w:spacing w:after="0"/>
              <w:rPr>
                <w:sz w:val="24"/>
                <w:szCs w:val="24"/>
                <w:color w:val="auto"/>
              </w:rPr>
            </w:pPr>
          </w:p>
        </w:tc>
        <w:tc>
          <w:tcPr>
            <w:tcW w:w="1280" w:type="dxa"/>
            <w:vAlign w:val="bottom"/>
            <w:tcBorders>
              <w:top w:val="single" w:sz="8" w:color="auto"/>
            </w:tcBorders>
            <w:shd w:val="clear" w:color="auto" w:fill="D9D9D9"/>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95"/>
        </w:trPr>
        <w:tc>
          <w:tcPr>
            <w:tcW w:w="4740" w:type="dxa"/>
            <w:vAlign w:val="bottom"/>
            <w:tcBorders>
              <w:bottom w:val="single" w:sz="8" w:color="auto"/>
              <w:right w:val="single" w:sz="8" w:color="D9D9D9"/>
            </w:tcBorders>
            <w:shd w:val="clear" w:color="auto" w:fill="D9D9D9"/>
          </w:tcPr>
          <w:p>
            <w:pPr>
              <w:spacing w:after="0"/>
              <w:rPr>
                <w:sz w:val="8"/>
                <w:szCs w:val="8"/>
                <w:color w:val="auto"/>
              </w:rPr>
            </w:pPr>
          </w:p>
        </w:tc>
        <w:tc>
          <w:tcPr>
            <w:tcW w:w="1300" w:type="dxa"/>
            <w:vAlign w:val="bottom"/>
            <w:tcBorders>
              <w:bottom w:val="single" w:sz="8" w:color="auto"/>
              <w:right w:val="single" w:sz="8" w:color="D9D9D9"/>
            </w:tcBorders>
            <w:shd w:val="clear" w:color="auto" w:fill="D9D9D9"/>
          </w:tcPr>
          <w:p>
            <w:pPr>
              <w:spacing w:after="0"/>
              <w:rPr>
                <w:sz w:val="8"/>
                <w:szCs w:val="8"/>
                <w:color w:val="auto"/>
              </w:rPr>
            </w:pPr>
          </w:p>
        </w:tc>
        <w:tc>
          <w:tcPr>
            <w:tcW w:w="980" w:type="dxa"/>
            <w:vAlign w:val="bottom"/>
            <w:tcBorders>
              <w:bottom w:val="single" w:sz="8" w:color="auto"/>
            </w:tcBorders>
            <w:shd w:val="clear" w:color="auto" w:fill="D9D9D9"/>
          </w:tcPr>
          <w:p>
            <w:pPr>
              <w:spacing w:after="0"/>
              <w:rPr>
                <w:sz w:val="8"/>
                <w:szCs w:val="8"/>
                <w:color w:val="auto"/>
              </w:rPr>
            </w:pPr>
          </w:p>
        </w:tc>
        <w:tc>
          <w:tcPr>
            <w:tcW w:w="320" w:type="dxa"/>
            <w:vAlign w:val="bottom"/>
            <w:tcBorders>
              <w:bottom w:val="single" w:sz="8" w:color="auto"/>
              <w:right w:val="single" w:sz="8" w:color="D9D9D9"/>
            </w:tcBorders>
            <w:shd w:val="clear" w:color="auto" w:fill="D9D9D9"/>
          </w:tcPr>
          <w:p>
            <w:pPr>
              <w:spacing w:after="0"/>
              <w:rPr>
                <w:sz w:val="8"/>
                <w:szCs w:val="8"/>
                <w:color w:val="auto"/>
              </w:rPr>
            </w:pPr>
          </w:p>
        </w:tc>
        <w:tc>
          <w:tcPr>
            <w:tcW w:w="1300" w:type="dxa"/>
            <w:vAlign w:val="bottom"/>
            <w:tcBorders>
              <w:bottom w:val="single" w:sz="8" w:color="auto"/>
              <w:right w:val="single" w:sz="8" w:color="D9D9D9"/>
            </w:tcBorders>
            <w:shd w:val="clear" w:color="auto" w:fill="D9D9D9"/>
          </w:tcPr>
          <w:p>
            <w:pPr>
              <w:spacing w:after="0"/>
              <w:rPr>
                <w:sz w:val="8"/>
                <w:szCs w:val="8"/>
                <w:color w:val="auto"/>
              </w:rPr>
            </w:pPr>
          </w:p>
        </w:tc>
        <w:tc>
          <w:tcPr>
            <w:tcW w:w="128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30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 w:type="dxa"/>
            <w:vAlign w:val="bottom"/>
          </w:tcPr>
          <w:p>
            <w:pPr>
              <w:spacing w:after="0"/>
              <w:rPr>
                <w:sz w:val="24"/>
                <w:szCs w:val="24"/>
                <w:color w:val="auto"/>
              </w:rPr>
            </w:pPr>
          </w:p>
        </w:tc>
      </w:tr>
      <w:tr>
        <w:trPr>
          <w:trHeight w:val="94"/>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300" w:type="dxa"/>
            <w:vAlign w:val="bottom"/>
            <w:tcBorders>
              <w:right w:val="single" w:sz="8" w:color="D9D9D9"/>
            </w:tcBorders>
            <w:shd w:val="clear" w:color="auto" w:fill="D9D9D9"/>
          </w:tcPr>
          <w:p>
            <w:pPr>
              <w:spacing w:after="0"/>
              <w:rPr>
                <w:sz w:val="24"/>
                <w:szCs w:val="24"/>
                <w:color w:val="auto"/>
              </w:rPr>
            </w:pPr>
          </w:p>
        </w:tc>
        <w:tc>
          <w:tcPr>
            <w:tcW w:w="980" w:type="dxa"/>
            <w:vAlign w:val="bottom"/>
            <w:shd w:val="clear" w:color="auto" w:fill="D9D9D9"/>
          </w:tcPr>
          <w:p>
            <w:pPr>
              <w:spacing w:after="0"/>
              <w:rPr>
                <w:sz w:val="24"/>
                <w:szCs w:val="24"/>
                <w:color w:val="auto"/>
              </w:rPr>
            </w:pPr>
          </w:p>
        </w:tc>
        <w:tc>
          <w:tcPr>
            <w:tcW w:w="320" w:type="dxa"/>
            <w:vAlign w:val="bottom"/>
            <w:tcBorders>
              <w:right w:val="single" w:sz="8" w:color="D9D9D9"/>
            </w:tcBorders>
            <w:shd w:val="clear" w:color="auto" w:fill="D9D9D9"/>
          </w:tcPr>
          <w:p>
            <w:pPr>
              <w:spacing w:after="0"/>
              <w:rPr>
                <w:sz w:val="24"/>
                <w:szCs w:val="24"/>
                <w:color w:val="auto"/>
              </w:rPr>
            </w:pPr>
          </w:p>
        </w:tc>
        <w:tc>
          <w:tcPr>
            <w:tcW w:w="1300" w:type="dxa"/>
            <w:vAlign w:val="bottom"/>
            <w:tcBorders>
              <w:right w:val="single" w:sz="8" w:color="D9D9D9"/>
            </w:tcBorders>
            <w:shd w:val="clear" w:color="auto" w:fill="D9D9D9"/>
          </w:tcPr>
          <w:p>
            <w:pPr>
              <w:spacing w:after="0"/>
              <w:rPr>
                <w:sz w:val="24"/>
                <w:szCs w:val="24"/>
                <w:color w:val="auto"/>
              </w:rPr>
            </w:pPr>
          </w:p>
        </w:tc>
        <w:tc>
          <w:tcPr>
            <w:tcW w:w="128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40" w:type="dxa"/>
            <w:vAlign w:val="bottom"/>
            <w:tcBorders>
              <w:bottom w:val="single" w:sz="8" w:color="auto"/>
              <w:right w:val="single" w:sz="8" w:color="D9D9D9"/>
            </w:tcBorders>
            <w:shd w:val="clear" w:color="auto" w:fill="D9D9D9"/>
          </w:tcPr>
          <w:p>
            <w:pPr>
              <w:spacing w:after="0"/>
              <w:rPr>
                <w:sz w:val="8"/>
                <w:szCs w:val="8"/>
                <w:color w:val="auto"/>
              </w:rPr>
            </w:pPr>
          </w:p>
        </w:tc>
        <w:tc>
          <w:tcPr>
            <w:tcW w:w="1300" w:type="dxa"/>
            <w:vAlign w:val="bottom"/>
            <w:tcBorders>
              <w:bottom w:val="single" w:sz="8" w:color="auto"/>
              <w:right w:val="single" w:sz="8" w:color="D9D9D9"/>
            </w:tcBorders>
            <w:shd w:val="clear" w:color="auto" w:fill="D9D9D9"/>
          </w:tcPr>
          <w:p>
            <w:pPr>
              <w:spacing w:after="0"/>
              <w:rPr>
                <w:sz w:val="8"/>
                <w:szCs w:val="8"/>
                <w:color w:val="auto"/>
              </w:rPr>
            </w:pPr>
          </w:p>
        </w:tc>
        <w:tc>
          <w:tcPr>
            <w:tcW w:w="980" w:type="dxa"/>
            <w:vAlign w:val="bottom"/>
            <w:tcBorders>
              <w:bottom w:val="single" w:sz="8" w:color="auto"/>
            </w:tcBorders>
            <w:shd w:val="clear" w:color="auto" w:fill="D9D9D9"/>
          </w:tcPr>
          <w:p>
            <w:pPr>
              <w:spacing w:after="0"/>
              <w:rPr>
                <w:sz w:val="8"/>
                <w:szCs w:val="8"/>
                <w:color w:val="auto"/>
              </w:rPr>
            </w:pPr>
          </w:p>
        </w:tc>
        <w:tc>
          <w:tcPr>
            <w:tcW w:w="320" w:type="dxa"/>
            <w:vAlign w:val="bottom"/>
            <w:tcBorders>
              <w:bottom w:val="single" w:sz="8" w:color="auto"/>
              <w:right w:val="single" w:sz="8" w:color="D9D9D9"/>
            </w:tcBorders>
            <w:shd w:val="clear" w:color="auto" w:fill="D9D9D9"/>
          </w:tcPr>
          <w:p>
            <w:pPr>
              <w:spacing w:after="0"/>
              <w:rPr>
                <w:sz w:val="8"/>
                <w:szCs w:val="8"/>
                <w:color w:val="auto"/>
              </w:rPr>
            </w:pPr>
          </w:p>
        </w:tc>
        <w:tc>
          <w:tcPr>
            <w:tcW w:w="1300" w:type="dxa"/>
            <w:vAlign w:val="bottom"/>
            <w:tcBorders>
              <w:bottom w:val="single" w:sz="8" w:color="auto"/>
              <w:right w:val="single" w:sz="8" w:color="D9D9D9"/>
            </w:tcBorders>
            <w:shd w:val="clear" w:color="auto" w:fill="D9D9D9"/>
          </w:tcPr>
          <w:p>
            <w:pPr>
              <w:spacing w:after="0"/>
              <w:rPr>
                <w:sz w:val="8"/>
                <w:szCs w:val="8"/>
                <w:color w:val="auto"/>
              </w:rPr>
            </w:pPr>
          </w:p>
        </w:tc>
        <w:tc>
          <w:tcPr>
            <w:tcW w:w="128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77"/>
        </w:trPr>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gridSpan w:val="2"/>
          </w:tcPr>
          <w:p>
            <w:pPr>
              <w:jc w:val="center"/>
              <w:ind w:right="9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47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7"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1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had 5,268, 4,982 and 5,651 employees, respectively as of December 31, 2023, 2024 and 2025. Our employees are mainly based in Beijing, Shanghai and Tianjin. The following table sets forth the numbers of our employees categorized by function as of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Employees</w:t>
            </w: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Sales, customer service and marketing</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administration and human resources</w:t>
            </w:r>
          </w:p>
        </w:tc>
        <w:tc>
          <w:tcPr>
            <w:tcW w:w="3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r>
      <w:tr>
        <w:trPr>
          <w:trHeight w:val="20"/>
        </w:trPr>
        <w:tc>
          <w:tcPr>
            <w:tcW w:w="7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employee numbers in this “Item 6. Directors, Senior Management and Employees—D. Employees” section do not include employees of SINA who spend part of their time working for our business and who have part of their staff-related expenses allocated to us.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required by laws and regulations in China, we participate in various employee social security plans that are organized by municipal and provincial governments, including housing, pension, medical insurance and unemployment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typically enter into standard confidentiality and non-compete agreements with our management and product development personnel. These contracts include a standard non-compete covenant that prohibits the employee from competing with us, directly or indirectly, during his or her employment and up to two years after the termination of his or her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pay compensation as specified under the agreement during the restriction period after the termination.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employ independent contractors to support our production, engineering, marketing and sales departments.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staff expenses related to the independent contractors recorded in 2025 was not significant.</w:t>
      </w:r>
    </w:p>
    <w:p>
      <w:pPr>
        <w:sectPr>
          <w:pgSz w:w="11900" w:h="16838" w:orient="portrait"/>
          <w:cols w:equalWidth="0" w:num="1">
            <w:col w:w="9940"/>
          </w:cols>
          <w:pgMar w:left="980" w:top="513"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labor union in Beijing, and we have not experienced any material labor disputes.</w:t>
      </w:r>
    </w:p>
    <w:p>
      <w:pPr>
        <w:spacing w:after="0" w:line="144" w:lineRule="exact"/>
        <w:rPr>
          <w:sz w:val="20"/>
          <w:szCs w:val="20"/>
          <w:color w:val="auto"/>
        </w:rPr>
      </w:pPr>
    </w:p>
    <w:p>
      <w:pPr>
        <w:ind w:left="400" w:hanging="392"/>
        <w:spacing w:after="0"/>
        <w:tabs>
          <w:tab w:leader="none" w:pos="4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225" w:lineRule="exact"/>
        <w:rPr>
          <w:sz w:val="20"/>
          <w:szCs w:val="20"/>
          <w:color w:val="auto"/>
        </w:rPr>
      </w:pPr>
    </w:p>
    <w:p>
      <w:pPr>
        <w:ind w:left="1000" w:hanging="31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total ordinary shares issued and outstanding.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calculations in the table below are based on 245,672,572 ordinary shares issued and outstanding as of March 31, 2026, comprising of 157,850,548 Class A ordinary shares and 87,822,024 Class B ordinary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6"/>
                <w:szCs w:val="16"/>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6"/>
                <w:szCs w:val="16"/>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gridSpan w:val="2"/>
          </w:tcPr>
          <w:p>
            <w:pPr>
              <w:ind w:left="49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0" w:type="dxa"/>
            <w:vAlign w:val="bottom"/>
          </w:tcPr>
          <w:p>
            <w:pPr>
              <w:spacing w:after="0"/>
              <w:rPr>
                <w:sz w:val="17"/>
                <w:szCs w:val="17"/>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1780" w:type="dxa"/>
            <w:vAlign w:val="bottom"/>
            <w:gridSpan w:val="5"/>
          </w:tcPr>
          <w:p>
            <w:pPr>
              <w:jc w:val="right"/>
              <w:ind w:right="130"/>
              <w:spacing w:after="0" w:line="200"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Shares</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3"/>
                <w:szCs w:val="23"/>
                <w:b w:val="1"/>
                <w:bCs w:val="1"/>
                <w:color w:val="auto"/>
                <w:vertAlign w:val="subscript"/>
              </w:rPr>
              <w:t>Power</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Charles Chao</w:t>
            </w:r>
            <w:r>
              <w:rPr>
                <w:rFonts w:ascii="Times New Roman" w:cs="Times New Roman" w:eastAsia="Times New Roman" w:hAnsi="Times New Roman"/>
                <w:sz w:val="26"/>
                <w:szCs w:val="26"/>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87,822,024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88,742,534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Du</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939,726</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939,726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 Liu</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Pochin Christopher Lu</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Pehong Chen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172,626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Gaofei Wang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1,504,127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1,504,127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 Wang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 Cao</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 Wang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366,528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Zenghui Cao</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216,705</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4,403,623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87,822,024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92,225,647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SINA Corporation</w:t>
            </w:r>
            <w:r>
              <w:rPr>
                <w:rFonts w:ascii="Times New Roman" w:cs="Times New Roman" w:eastAsia="Times New Roman" w:hAnsi="Times New Roman"/>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87,822,024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87,822,024</w:t>
            </w:r>
          </w:p>
        </w:tc>
        <w:tc>
          <w:tcPr>
            <w:tcW w:w="1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   62.5 %</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 WB Investment Holding Limited</w:t>
            </w:r>
            <w:r>
              <w:rPr>
                <w:rFonts w:ascii="Times New Roman" w:cs="Times New Roman" w:eastAsia="Times New Roman" w:hAnsi="Times New Roman"/>
                <w:sz w:val="26"/>
                <w:szCs w:val="26"/>
                <w:color w:val="auto"/>
                <w:vertAlign w:val="superscript"/>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67,883,086</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67,883,086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31"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0.1%.</w:t>
      </w:r>
    </w:p>
    <w:p>
      <w:pPr>
        <w:spacing w:after="0" w:line="231" w:lineRule="exact"/>
        <w:rPr>
          <w:sz w:val="20"/>
          <w:szCs w:val="20"/>
          <w:color w:val="auto"/>
        </w:rPr>
      </w:pPr>
    </w:p>
    <w:p>
      <w:pPr>
        <w:ind w:left="660" w:hanging="652"/>
        <w:spacing w:after="0" w:line="302" w:lineRule="auto"/>
        <w:tabs>
          <w:tab w:leader="none" w:pos="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for Charles Chao and Hong Du is No. 8 SINA Plaza, Courtyard 10, the West, Xibeiwang E. Road Haidian District, Beijing 100193, People’s Republic of China.</w:t>
      </w:r>
    </w:p>
    <w:p>
      <w:pPr>
        <w:spacing w:after="0" w:line="148" w:lineRule="exact"/>
        <w:rPr>
          <w:sz w:val="20"/>
          <w:szCs w:val="20"/>
          <w:color w:val="auto"/>
        </w:rPr>
      </w:pPr>
    </w:p>
    <w:p>
      <w:pPr>
        <w:jc w:val="both"/>
        <w:ind w:left="660" w:hanging="652"/>
        <w:spacing w:after="0" w:line="268" w:lineRule="auto"/>
        <w:tabs>
          <w:tab w:leader="none" w:pos="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March 31, 2026, by the sum of (i) 245,672,572 which is the total number of ordinary shares outstanding as of March 31, 2026 and (ii) the number of ordinary shares that such person or group has the right to acquire within 60 days after March 31, 2026.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8" w:lineRule="exact"/>
        <w:rPr>
          <w:sz w:val="20"/>
          <w:szCs w:val="20"/>
          <w:color w:val="auto"/>
        </w:rPr>
      </w:pPr>
    </w:p>
    <w:p>
      <w:pPr>
        <w:jc w:val="both"/>
        <w:ind w:left="660" w:hanging="652"/>
        <w:spacing w:after="0" w:line="261" w:lineRule="auto"/>
        <w:tabs>
          <w:tab w:leader="none" w:pos="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the percentage of total voting power represents voting power based on both Class A and Class B ordinary shares held by such person or group with respect to all of our outstanding Class A and Class B ordinary shares as one class as of March 31, 2026.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191" w:lineRule="exact"/>
        <w:rPr>
          <w:rFonts w:ascii="Times New Roman" w:cs="Times New Roman" w:eastAsia="Times New Roman" w:hAnsi="Times New Roman"/>
          <w:sz w:val="14"/>
          <w:szCs w:val="14"/>
          <w:color w:val="auto"/>
        </w:rPr>
      </w:pPr>
    </w:p>
    <w:p>
      <w:pPr>
        <w:ind w:left="660" w:hanging="652"/>
        <w:spacing w:after="0" w:line="282" w:lineRule="auto"/>
        <w:tabs>
          <w:tab w:leader="none" w:pos="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87,822,024 Class B ordinary shares held by SINA Corporation, (ii) 545,510 Class A ordinary shares in the form of ADSs held by Charles Chao, and (iii) 375,000 Class A ordinary shares issuable upon the exercise of options exercisable within 60 days after March 31, 2026 held by Charles Chao.</w:t>
      </w:r>
    </w:p>
    <w:p>
      <w:pPr>
        <w:spacing w:after="0" w:line="175" w:lineRule="exact"/>
        <w:rPr>
          <w:rFonts w:ascii="Times New Roman" w:cs="Times New Roman" w:eastAsia="Times New Roman" w:hAnsi="Times New Roman"/>
          <w:sz w:val="14"/>
          <w:szCs w:val="14"/>
          <w:color w:val="auto"/>
        </w:rPr>
      </w:pPr>
    </w:p>
    <w:p>
      <w:pPr>
        <w:jc w:val="both"/>
        <w:ind w:left="660" w:hanging="652"/>
        <w:spacing w:after="0" w:line="259" w:lineRule="auto"/>
        <w:tabs>
          <w:tab w:leader="none" w:pos="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87,822,024 Class B ordinary shares held by SINA Corporation. SINA Corporation is incorporated in the Cayman Islands. The business address of SINA Corporation is SINA Plaza, No. 8 Courtyard 10, the West Xibeiwang E. Road, Haidian District, Beijing 100193, People’s Republic of China. On March 22, 2021, New Wave Mergersub Limited (a wholly owned subsidiary of Sina Group Holding Company Limited, formerly known as New Wave Holdings Limited) merged with and into SINA, with SINA continuing as the surviving company. As a result of this merger, SINA became a wholly owned subsidiary of Sina Group Holding Company Limited, which is a wholly owned subsidiary of New Wave MMXV Limited, a business company incorporated in the British Virgin Islands and controlled by Mr. Charles Chao. As of the date of this annual report, New Wave MMXV Limited is owned as to 61.2% by Mr. Charles Chao, 30.0% by Mr. Yunli Liu and the remaining shares are held by other senior management members of SINA and Weibo, including Ms. Hong Du, Mr. Gaofei Wang and Ms. Bonnie Yi Zhang, each of whom held less than 5% of the total share capital of New Wave MMXV Limited. All the voting shares in New Wave MMXV Limited were held by Mr. Charles Chao, and the rest were all non-voting shares. Following the completion of the merger, SINA has ceased to be a reporting company under the Exchange Act and its shares have ceased trading on Nasdaq.</w:t>
      </w:r>
    </w:p>
    <w:p>
      <w:pPr>
        <w:spacing w:after="0" w:line="193" w:lineRule="exact"/>
        <w:rPr>
          <w:rFonts w:ascii="Times New Roman" w:cs="Times New Roman" w:eastAsia="Times New Roman" w:hAnsi="Times New Roman"/>
          <w:sz w:val="14"/>
          <w:szCs w:val="14"/>
          <w:color w:val="auto"/>
        </w:rPr>
      </w:pPr>
    </w:p>
    <w:p>
      <w:pPr>
        <w:jc w:val="both"/>
        <w:ind w:left="66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2025, SINA entered into a facility agreement with, among others, Goldman Sachs Bank USA as mandated lead arranger and bookrunner, and Citicorp International Limited as facility agent and as security agent, under which SINA is entitled to borrow up to US$150 million. This facility agreement refinances in full the US$300 million facility agreement entered into by SINA in March 2023 with, among others, Goldman Sachs Bank USA as mandated lead arranger and bookrunner, and Citicorp International Limited as facility agent and as security agent. Such March 2023 facility agreement has been repaid and discharged in full on March 13, 2025. On March 13, 2025, SINA pledged half of the Class B ordinary shares held by it in our company as at such date in favor of the security agent of the January 2025 facility, which represented 17.9% of our total issued and outstanding shares and 31.3% of our voting power as of March 31, 2025, and might from time to time pledge additional Class B ordinary shares held by it in our company, pursuant to the terms of such share pledge. In the event SINA defaults under the facility agreement governing SINA’s loan, the security agent may exercise its rights and remedies in respect of the pledge, including the right to sell and/or foreclose on the shares subject to the pledge, which potentially could cause a change in control in our company. In December 2025, we became aware that SINA received an adverse judgment in an appraisal proceeding under Section 238 of the Cayman Islands Companies Act in connection with its privatization. SINA has appealed the judgement to the Cayman Islands Court of Appeal, which granted a stay of the enforcement of the judgement and resulting order until the resolution of the appeal. As of the date of this annual report, the outcome of the s.238 appeal remains uncertain. Please see “Item 3. Key Information—D. Risk Factors—Risks Relating to Our Relationship with SINA—SINA has pledged half of the Class B ordinary shares held by it in our company to secure a syndicate loan and might from time to time pledge additional Class B ordinary shares held by it in our company. The potential default by SINA on the underlying loans or the potential for SINA to pledge additional Class B ordinary shares in our company poses a risk of change in control.”</w:t>
      </w:r>
    </w:p>
    <w:p>
      <w:pPr>
        <w:spacing w:after="0" w:line="357" w:lineRule="exact"/>
        <w:rPr>
          <w:rFonts w:ascii="Times New Roman" w:cs="Times New Roman" w:eastAsia="Times New Roman" w:hAnsi="Times New Roman"/>
          <w:sz w:val="14"/>
          <w:szCs w:val="14"/>
          <w:color w:val="auto"/>
        </w:rPr>
      </w:pPr>
    </w:p>
    <w:p>
      <w:pPr>
        <w:ind w:left="660" w:right="20" w:hanging="652"/>
        <w:spacing w:after="0" w:line="302" w:lineRule="auto"/>
        <w:tabs>
          <w:tab w:leader="none" w:pos="6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58,883,086 Class A ordinary shares and (ii) 9,000,000 Class A ordinary shares represented by ADSs. Such shareholding information is based on the information contained in the Schedule 13D filed by Ali WB with the SEC on September 9, 2016.</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our knowledge, as of March 31, 2026, we had 36,493,503 ordinary shares outstanding on an as converted basis that were held by 27 record holders in the United States, including the depositary of our ADS program. The number of beneficial owners of our ADSs in the United States is likely to be much larger than the number of record holders of our ordinary shares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196" w:lineRule="exact"/>
        <w:rPr>
          <w:sz w:val="20"/>
          <w:szCs w:val="20"/>
          <w:color w:val="auto"/>
        </w:rPr>
      </w:pPr>
    </w:p>
    <w:p>
      <w:pPr>
        <w:ind w:left="660" w:right="3060" w:hanging="652"/>
        <w:spacing w:after="0" w:line="537" w:lineRule="auto"/>
        <w:tabs>
          <w:tab w:leader="none" w:pos="401"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SINA and Ali WB are currently the two largest shareholders of our company. Below are summaries of our relationship with these two shareholders. In December 2025, we became aware that SINA received an adverse judgment in an appraisal proceeding under Section 238 of the Cayman Islands Companies Act in connection with its privatization. SINA has appealed the judgement to the Cayman Islands Court of Appeal, which granted a stay of the enforcement of the judgement and resulting order until the resolution of the appeal. Our board of directors, through a special committee consisting of independent directors, is monitoring the development of this case and assessing the potential impact on our company, pending the outcome of the appeal, including the impact on the shareholding and other relationships and transactions between our company and SINA, and considering any necessary action to be taken to protect the interests of our company. As of the date of this annual report, the outcome of the s.238 appeal remains uncertain.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SINA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controlled subsidiary of SINA. On March 22, 2021, New Wave Mergersub Limited (a wholly owned subsidiary of Sina Group Holding Company Limited, formerly known as New Wave Holdings Limited) merged with and into SINA, with SINA continuing as the surviving company. As a result of this merger, SINA became a wholly owned subsidiary of Sina Group Holding Company Limited, which is a wholly owned subsidiary of New Wave MMXV Limited, a business company incorporated in the British Virgin Islands and controlled by Mr. Charles Chao. Following the completion of the merger, SINA has ceased to be a reporting company under the Exchange Act and its shares have ceased trading on Nasdaq.</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SINA with respect to various ongoing relationships between us after our initial public offering. These agreements that are still in effect include a master transaction agreement, a non-competition agreement, and a sales and marketing services agreement. The following are summaries of these agreements and of an intellectual property license agreement that we entered into with SINA in April 2013.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Transaction Agreement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master transaction agreement contains provisions relating to our carve-out from SINA. Pursuant to this agreement, we are responsible for all financial liabilities associated with the current and historical social media business and operations that have been conducted by or transferred to us, and SINA is responsible for financial liabilities associated with all of SINA’s other current and historical businesses and operations, in each case regardless of the time those liabilities arise. The master transaction agreement also contains indemnification provisions under which we and SINA indemnify each other with respect to breaches of the master transaction agreement or any related intercompany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have agreed to indemnify SINA against liabilities arising from misstatements or omissions in our prospectus dated April 16, 2014 or the registration statement of which it is a part, except for misstatements or omissions relating to information that SINA provided to us specifically for inclusion in our prospectus dated April 16, 2014 or the registration statement of which it forms a part. We also have agreed to indemnify SINA against liabilities arising from any misstatements or omissions in our subsequent SEC filings and from information we provide to SINA specifically for inclusion in SINA’s annual reports or other SEC filings following the completion of our initial public offering, but only to the extent that the information pertains to us or our business or to the extent SINA provides us prior written notice that the information will be included in its annual reports or other subsequent SEC filings and the liability does not result from the action or inaction of SINA. Similarly, SINA will indemnify us against liabilities arising from misstatements or omissions in its subsequent SEC filings or with respect to information that SINA provided to us specifically for inclusion in our prospectus dated April 16, 2014, the registration statement of which our prospectus dated April 16, 2014 forms a part, or our annual reports or other SEC filings following the completion of our initial public offering.</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master transaction agreement also contains a general release, under which the parties will release each other from any liabilities arising from events occurring on or before the initial filing date of the registration statement of which our prospectus dated April 16, 2014 forms a part, including in connection with the activities to implement of our initial public offering. The general release does not apply to liabilities allocated between the parties under the master transaction agreement or the other intercompany agreements.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under the master transaction agreement, we have agreed to use our reasonable best efforts to use the same independent certified public accounting firm selected by SINA and to maintain the same fiscal year as SINA until the first SINA fiscal year-end following the earlier of (1) the first date when SINA no longer owns at least 20% of the voting power of our then outstanding securities and (2) the first date when SINA ceases to be the largest beneficial owner of our then outstanding voting securities (without considering holdings by certain institutional investors). We refer to this earlier date as the control ending date. We also have agreed to use our reasonable best efforts to complete our audit and provide SINA with all financial and other information on a timely basis so that SINA may meet its deadlines for its filing of annual and quarterly financial statements.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master transaction agreement, the parties also agree to cooperate in sharing information and data collected from each party’s business operation, including, without limitation, user information and data relating to user activities. The parties agree not to charge any fees for their cooperation provided under the agreement unless they separately and explicitly agree otherwise.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master transaction agreement will automatically terminate five years after the first date upon which SINA ceases to own in aggregate at least 20% of the voting power of our then outstanding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agreement on sharing information and data will terminate on the earlier of (1) the fifteenth anniversary of the commencement of the cooperation period or (2) five years after the first date upon which SINA ceases to own in aggregate at least 20% of the voting power of our then outstanding securities. This agreement can be terminated early or extended by mutual written consent of the parties. The termination of this agreement will not affect the validity and effectiveness of the non-competition agreement and the sales and marketing services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Non-competition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non-competition agreement with SINA provides for a non-competition period beginning upon the completion of our initial public offering and ending on the later of (1) five years after the first date upon which members of SINA and its subsidiaries and consolidated affiliated entities cease to own in aggregate at least 20% of the voting power of our then outstanding securities and (2) fifteenth anniversary of the completion of our initial public offering. This agreement can be terminated early by mutual written consent of the parties.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SINA has agreed not to compete with us during the non-competition period in the business that is of the same nature as the microblogging and social networking business that we operated as of the date of the agreement, except for owning non-controlling equity interest in any company competing with us. We have agreed not to compete with SINA during the non-competition period in the businesses currently conducted by SINA, as described in its periodic filings with the SEC, other than the microblogging and social networking business that we operated as of the date of the agreement, except for owning non-controlling equity interest in any company competing with SINA.</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non-competition agreement also provides for a mutual non-solicitation obligation that neither SINA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Services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sales and marketing services agreement with SINA, we agree that SINA will be our sales and marketing agent within the service period commencing on the date of signing and ending on the earlier of (1) the fifteenth anniversary of the commencement of the service period or (2) five years after the first date upon which SINA and any entity controlled by SINA cease to collectively own in aggregate at least 20% of the voting power of our then outstanding securities.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fee to be reimbursed for the services provided under this agreement shall be the reasonably allocated direct and indirect costs of providing such services. Direct costs include labor-related compensation and travel expenses and materials and supplies consumed in performing the services. Indirect costs include office occupancy, information technology support and other overhead costs of the department incurring the direct costs of providing the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intellectual property license agreement was entered into by and between SINA and us as a part of Ali WB’s purchase of our ordinary and preferred shares in April 2013. Under the intellectual property license agreement, SINA grants us and our subsidiaries a perpetual, worldwide, royalty-free, fully paid-up, non-sublicensable, non-transferable, limited, exclusive license of trademarks,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including ”</w:t>
      </w:r>
      <w:r>
        <w:rPr>
          <w:sz w:val="1"/>
          <w:szCs w:val="1"/>
          <w:color w:val="auto"/>
        </w:rPr>
        <w:drawing>
          <wp:inline distT="0" distB="0" distL="0" distR="0">
            <wp:extent cx="360045" cy="1028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0045"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w:t>
      </w:r>
      <w:r>
        <w:rPr>
          <w:sz w:val="1"/>
          <w:szCs w:val="1"/>
          <w:color w:val="auto"/>
        </w:rPr>
        <w:drawing>
          <wp:inline distT="0" distB="0" distL="0" distR="0">
            <wp:extent cx="231775" cy="10287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1775"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 “</w:t>
      </w:r>
      <w:r>
        <w:rPr>
          <w:sz w:val="1"/>
          <w:szCs w:val="1"/>
          <w:color w:val="auto"/>
        </w:rPr>
        <w:drawing>
          <wp:inline distT="0" distB="0" distL="0" distR="0">
            <wp:extent cx="325755" cy="12001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755"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 a non-exclusive license of certain other intellectual property owned by SINA to make, sell, offer to sell and distribute products, services and applications on a microblogging and social networking platform. We grant SINA and its affiliates a non-exclusive, perpetual, worldwide, non-sublicensable, non-transferable limited license of certain of our intellectual property to use, reproduce, modify, prepare derivative works of, perform, display or otherwise exploit such intellectual property. This agreement commenced on April 29, 2013 and will continue in effect unless and until terminated as provided in the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SINA’s Registration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SINA has the same registration rights as those that have been granted to Ali WB. See below “Our Relationship with Alibaba— Registration Rights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Alibaba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April 2013, we entered into a strategic collaboration agreement and a marketing cooperation agreement to form a strategic alliance between several of our affiliated entities and several entities affiliated with Alibaba. Concurrently with forming the strategic alliance, Alibaba invested US$585.8 million through Ali WB, its wholly owned subsidiary, to purchase our ordinary and preferred shares representing approximately 18% of our then total outstanding shares on a fully diluted basis. Although the strategic collaboration agreement and the marketing cooperation agreement expired in January 2016, Alibaba remains a significant customer of ours, as we continue to serve as an important marketing partner for Alibaba and we continue to jointly develop innovative marketing solutions for both of our customers and explore social e-commerce opportunities for their merchants. The following are summaries of the major rights that Ali WB has as our shareholder.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Alibaba’s purchase of our ordinary and preferred shares in April 2013, we entered into a shareholders’ agreement with Ali WB and SINA which regulates our shareholders’ rights and obligations after Ali WB became our shareholder, which agreement was amended and restated in March 2014. This agreement will continue in effect unless it is terminated: (i) by written agreement among the parties; or (ii) upon the expiration of (A) all rights created under this agreement and (B) all statutes of limitations applicable to the enforcement of claims under this agreement. The following are summaries of certain rights that Ali WB is entitled to under the shareholders’ agreement which continue to be valid after the completion of our initial public offering.</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Ali WB’s Rights Relating to Share Incentive Plan. </w:t>
      </w:r>
      <w:r>
        <w:rPr>
          <w:rFonts w:ascii="Times New Roman" w:cs="Times New Roman" w:eastAsia="Times New Roman" w:hAnsi="Times New Roman"/>
          <w:sz w:val="18"/>
          <w:szCs w:val="18"/>
          <w:color w:val="auto"/>
        </w:rPr>
        <w:t>Until the earlier of (1) April 21, 2019, the 5th anniversary of our initial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and (2) certain investor exit events defined under the shareholders agreement, we are not permitted to revise our equity-based incentive plans, including our 2014 Share Incentive Plan to increase the number of securities issuable under such plans or adopt any new plan without the prior written consent of Ali WB. These rights have expired in April 2019.</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Ali WB’s Right of First Offer. </w:t>
      </w:r>
      <w:r>
        <w:rPr>
          <w:rFonts w:ascii="Times New Roman" w:cs="Times New Roman" w:eastAsia="Times New Roman" w:hAnsi="Times New Roman"/>
          <w:sz w:val="18"/>
          <w:szCs w:val="18"/>
          <w:color w:val="auto"/>
        </w:rPr>
        <w:t>Ali WB has the right of first offer if (1) SINA or any of its wholly owned subsidiaries desires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all or any portion of our shares it holds to a third party other than up to 7,000,000 ordinary shares, or (2) any management shareholder desires to sell all or any portion of our shares such shareholder holds to a third party other than up to 20% of the ordinary shares held by such shareholder as of April 29, 2013.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Ali WB’s Board Representation Rights. </w:t>
      </w:r>
      <w:r>
        <w:rPr>
          <w:rFonts w:ascii="Times New Roman" w:cs="Times New Roman" w:eastAsia="Times New Roman" w:hAnsi="Times New Roman"/>
          <w:sz w:val="18"/>
          <w:szCs w:val="18"/>
          <w:color w:val="auto"/>
        </w:rPr>
        <w:t>After Ali WB exercised its option in full, it has the right to appoint a number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proportion to the percentage of its ownership in our company. SINA and Ali WB have entered into a voting agreement to effect the board representation rights. See “—Voting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voting agreement entered into by SINA and Ali WB on April 24, 2014, Ali WB has the right to appoint or nominate such number of directors as is proportional to the percentage of its ownership in our company on a fully diluted basis (such number of directors to be rounded down the closest integer). Nevertheless, the number of non-independent directors Ali WB is entitled to appoint or nominate shall be no fewer than one director but no greater than the number of directors appointed or nominated by SINA as long as Ali WB holds less our shares than SINA. Ali WB’s board representation rights will terminate in the event that more than 50% of its acquired shares, being the total shares of our company acquired by Ali WB in April 2013 and through the exercise of Ali WB’s option under the shareholders’ agreement, are transferred by Ali WB or its permitted transferees to one or more third parties or are no longer held by Alibaba directly, or indirectly through certain subsidiaries. Ali WB may assign its board representation rights to a qualified new investor to whom Ali WB transfers at least 50% of its acquired shares and who meets the requirements set forth in the shareholders agreement and the directors to be appointed by such new qualified investor must meet qualifications set forth in the voting agreement. In August 2023, Mr. Bo Liu was appointed by Ali WB as a director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a registration rights agreement with SINA and Ali WB. Under the registration rights agreement, each of SINA and Ali WB has the right to require us to register the public sale of all the shares owned by them as well as the right to participate in registrations of shares by us or any of our other shareholders. SINA and Ali WB have customary rights under the registration rights agreement, such as no more than two (2) demand registration rights, unlimited piggyback registration rights, shelf registration rights and rights to request us to pay registration expenses and to bear indemnification liability. The registration rights granted to SINA or Ali WB under this agreement shall terminate when all of their registrable securities may be sold without restriction or limitation under Rule 144. The Registration Rights Agreement will continue in effect unless it is terminated by written agreement among the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 PRC laws and regulations impose substantial restrictions on foreign ownership of internet information services and value-added telecommunication service businesses in China. Therefore, we conduct part of our businesses through a series of agreements between our PRC subsidiaries, our consolidated affiliated Chinese entities and/or their respective shareholders. See “Item 4. Information on the Company—C. Organizational Structure—Contractual Arrangements with the VIEs and Their Respective Individual Shareholders” for a description of the contractual arrangements between Weibo Technology, the VIEs and the shareholders of VIEs.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SINA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2025, we recorded US$36.1 million in revenues billed through SINA to third parties/for services provided to SINA. We had costs and expenses allocated from SINA of US$31.7 million and another US$25.5 million billed by SINA for other costs and expenses associated with Weibo business. In addition, we allocated US$8.1 million to SINA for costs and expenses related to certain of SINA’s activities for which Weibo made the payments. As of December 31, 2025, the outstanding balance of amounts due from SINA (excluding loans to and interest receivable from SINA) was US$39.2 million.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2025, we entered into a series of one-year loan agreements with SINA, pursuant to which SINA is entitled to withdraw loans from us to facilitate SINA’s business operations or to meet SINA’s short term capital needs. In 2025, SINA has withdrawn a total of US$753.0 million of loans from us and repaid US$773.5 million to us while we recognized US$10.8 million interest income on the loans to SINA. As of December 31, 2025, the outstanding balance of the loans to and interest receivable from SINA was US$401.9 million.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we recorded US$46.6 million in revenues billed through SINA to third parties/for services provided to SINA. We had costs and expenses allocated from SINA of US$33.2 million and another US$38.5 million billed by SINA for other costs and expenses associated with Weibo business. In addition, we allocated US$8.6 million to SINA for costs and expenses related to certain of SINA’s activities for which Weibo made the payments. As of December 31, 2024, the outstanding balance of amounts due from SINA (excluding loans to and interest receivable from SINA) was US$35.1 million.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2024, we entered into a series of one-year loan agreements with SINA, pursuant to which SINA is entitled to withdraw loans from us to facilitate SINA’s business operations or to meet SINA’s short term capital needs. In 2024, SINA has withdrawn a total of US$966.6 million of loans from us and repaid US$970.9 million to us while we recognized US$13.1 million interest income on the loans to SINA. As of December 31, 2024, the outstanding balance of the loans to and interest receivable from SINA was US$417.7 million.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2023, we recorded US$66.8 million in revenues billed through SINA to third parties/for services provided to SINA. We had costs and expenses allocated from SINA of US$36.5 million and another US$24.9 million billed by SINA for other costs and expenses associated with Weibo business. In addition, we allocated US$9.9 million to SINA for costs and expenses related to certain of SINA’s activities for which Weibo made the payments. As of December 31, 2023, the outstanding balance of amounts due from SINA (excluding loans to and interest receivable from SINA) was US$41.2 million.</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we entered into a series of one-year loan agreements with SINA, pursuant to which SINA is entitled to withdraw loans from us to facilitate SINA’s business operations or to meet SINA’s short term capital needs. In 2023, SINA has withdrawn a total of US$1,105.7 million of loans from us and repaid US$1,071.1 million to us while we recognized US$14.9 million interest income on the loans to SINA. As of December 31, 2023, the outstanding balance of the loans to and interest receivable from SINA was US$445.2 million.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 2023, Weibo Holding (Singapore) Pte. Ltd., our wholly owned subsidiary, entered into a share purchase agreement with ShowWorld Holding Limited, an indirect subsidiary of SINA, pursuant to which Weibo Holding (Singapore) Pte. Ltd. purchased all equity interests in ShowWorld HongKong Limited, a wholly owned subsidiary of ShowWorld Holding Limited and an entity holding 332,615,750 shares of INMYSHOW Digital Technology (Group) Co., Ltd. for an aggregate consideration of approximately RMB2.16 billion in cash, payable in U.S. dollars. INMYSHOW Digital Technology (Group) Co., Ltd. is a Shanghai Stock Exchange-listed company (SSE: 600556). We beneficially owned 480,342,364 shares of INMYSHOW Digital Technology (Group) Co., Ltd., representing approximately 26.57% of its total issued shares, immediately following the consummation of this transaction and taking into account our existing shareholding.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Costs and expenses allocated from SINA represent services that were provided by various subsidiaries and VIEs of SINA. The service fees were incurred using an allocation methodology based on proportional utilization. See “—Our Relationship with SINA” and “Note 2. Significant Accounting Policies” in the accompanying notes to consolidated financial statements included in this annual report on Form 20-F.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Alibaba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we recorded US$173.8 million in advertising and marketing revenues from Alibaba and US$29.6 million of cost and expenses for the services provided by Alibaba. As of December 31, 2025, we had a total of US$45.8 million in accounts receivable due from Alibaba.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we recorded US $116.8 million in advertising and marketing revenues from Alibaba and US$22.5 million of cost and expenses for the services provided by Alibaba. As of December 31, 2024, we had a total of US$43.5 million in accounts receivable due from Alibaba.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2023, we recorded US$111.6 million in advertising and marketing revenues from Alibaba and US$23.4 million of cost and expenses for the services provided by Alibaba. As of December 31, 2023, we had a total of US$61.1 million in accounts receivable due from Alibaba.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2025, other than revenues generated from SINA and Alibaba, we recorded US$27.5 million in revenues from other related parties and US$31.6 million in cost and expenses for services received from other related parties. As of December 31, 2025, we had outstanding balances related to other related parties of US$39.7 million in accounts receivable, US$30.8 million in accounts payable, and US$5.3 million in accrued and other liabilities. Moreover, we recorded loans to and interest receivables from other related parties of US$544.1 million at annual interest rates ranging from 1% to 6% as of December 31, 2025. These other related parties mainly included an equity investee in real estate business, accounting US$408.3 million, and an investee providing online brokerage services, accounting US$88.5 million of the outstanding balance as of December 31,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2024, other than revenues generated from SINA and Alibaba, we recorded US$45.2 million in revenues from other related parties and US$32.8 million in cost and expenses for services received from other related parties. As of December 31, 2024, we had outstanding balances related to other related parties of US$39.6 million in accounts receivable, US$25.0 million in accounts payable, and US$5.6 million in accrued and other liabilities. Moreover, we recorded loans to and interest receivables from other related parties of US$447.0 million at annual interest rates ranging from 5.0% to 6.6% as of December 31, 2024. These other related parties mainly included an equity investee in real estate business, accounting US$358.5 million, and an investee providing online brokerage services, accounting US$88.5 million of the outstanding balance as of December 31, 2024.</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2023, other than revenues generated from SINA and Alibaba, we recorded US$35.4 million in revenues from other related parties and US$33.9 million in cost and expenses for services received from other related parties. As of December 31, 2023, we had outstanding balances related to other related parties of US$38.2 million in net accounts receivable, US$36.8 million in accounts payable, and US$6.0 million in accrued and other liabilities. Moreover, we recorded loans to and interest receivables from other related parties of US$449.7 million at annual interest rates ranging from 4.0% to 6.7% as of December 31, 2023. These other related parties mainly included an equity investee in real estate business, accounting US$349.7 million, and an investee providing online brokerage services, accounting US$100.0 million of the outstanding balance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221" w:lineRule="exact"/>
        <w:rPr>
          <w:sz w:val="20"/>
          <w:szCs w:val="20"/>
          <w:color w:val="auto"/>
        </w:rPr>
      </w:pPr>
    </w:p>
    <w:p>
      <w:pPr>
        <w:ind w:left="660" w:right="7080" w:hanging="652"/>
        <w:spacing w:after="0" w:line="485" w:lineRule="auto"/>
        <w:tabs>
          <w:tab w:leader="none" w:pos="336"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appended consolidated financial statements at the end of this annual report filed as part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From time to time, we have been involved in litigation or other disputes regarding, among other things, copyright and trademark infringement, defamation, unfair competition and labor disputes. For many of these legal proceedings, we are currently unable to estimate the reasonably possible loss or a range of reasonably possible loss as the proceedings are in the early stages, or there is a lack of clear or consistent interpretation of laws specific to the industry-specific complaints among different jurisdictions. As a result, there is considerable uncertainty regarding the timing or ultimate resolution of such proceedings, which includes eventual loss, fine, penalty or business impact, if any, and therefore, an estimate for the reasonably possible loss or a range of reasonably possible loss cannot be made. With respect to the limited number of proceedings for which we are able to estimate the reasonably possible loss or the range of reasonably possible loss, such estimates are immaterial. We believe that such proceedings, individually and in the aggregate, when finally resolved, are not reasonably likely to have a material and adverse effect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2023, the board of directors of Weibo Corporation approved a special cash dividend of US$0.85 per ordinary share, or US$0.85 per ADS, to holders of the ordinary shares and ADSs of Weibo Corporation, as applicable, as of the close of business on June 26, 2023. In March 2024, the board of directors of Weibo Corporation approved a special cash dividend of US$0.82 per ordinary share, or US$0.82 per ADS, to holders of the ordinary shares and ADSs of Weibo Corporation, as applicable, as of the close of business on April 12, 2024.</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12, 2025, we adopted a cash dividend policy. Under the policy, we may choose to declare and distribute a cash dividend each year in accordance with our memorandum and articles of association and applicable laws and regulations. Our board of directors has discretion as to whether to make dividend distributions and the amount of such distributions in any particular year, depending on our results of operations and earnings, cash flow, financial condition, capital requirements and other relevant considerations deemed relevant by our board of directors. In accordance with the dividend policy, on the same day, the board of directors of Weibo Corporation approved a cash dividend of US$0.82 per ordinary share, or US$0.82 per ADS, to holders of the ordinary shares and ADSs of Weibo Corporation, as applicable, as of the close of business on April 9, 2025. For the years ended December 31, 2023, 2024 and 2025, dividends made to Weibo Corporation’s shareholders were US$200.1 million, US$199.4 million and US$200.6 million, respectively.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2026, our board of directors approved an annual cash dividend for the year ended December 31, 2025 of US$0.61 per ordinary share, or US$0.61 per ADS, to holders of the ordinary shares and ADSs of Weibo Corporation, as applicable, as of the close of business on April 17, 2026.</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Our ability to pay dividends to our shareholders depends upon dividends, loans or advances that we receive from our PRC subsidiaries. PRC regulations may restrict the ability of our PRC subsidiaries to pay dividends to us. See “Item 3. Key Information—D. Risk Factors—Risks Relating to Doing Business in China—Any limitation on the ability of our PRC subsidiaries to make payments to us, or the tax implications of making payments to us, could have a material adverse effect on our ability to conduct our business or our financial condition.”</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Our board of directors has discretion as to whether to distribute dividends, subject to applicable laws. In addition, our shareholders may by ordinary resolution declare dividends, but no dividend may exceed the amount recommended by our directors. Under Cayman Islands law, our company may pay dividends only out of either profit or share premium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circumstances may a dividend be paid if this would result in our company being unable to pay its debts as they fall due in the ordinary course of business. Our board of directors may also revise our dividend policy or it may choose to cancel our dividend policy entirely. Even if our board of directors decides to declare and pay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If we pay any dividends, our depositary will distribute such dividends to our ADS holders to the same extent as holders of our ordinary shares,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12" w:lineRule="exact"/>
        <w:rPr>
          <w:sz w:val="20"/>
          <w:szCs w:val="20"/>
          <w:color w:val="auto"/>
        </w:rPr>
      </w:pPr>
    </w:p>
    <w:p>
      <w:pPr>
        <w:ind w:left="400" w:hanging="392"/>
        <w:spacing w:after="0"/>
        <w:tabs>
          <w:tab w:leader="none" w:pos="4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each representing one of our Class A ordinary shares, have been quoted on The Nasdaq Global Select Market system under the symbol “WB” since April 17, 2014.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December 8, 2021 under the stock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60" w:right="8000" w:hanging="652"/>
        <w:spacing w:after="0" w:line="505" w:lineRule="auto"/>
        <w:tabs>
          <w:tab w:leader="none" w:pos="401"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400" w:hanging="392"/>
        <w:spacing w:after="0"/>
        <w:tabs>
          <w:tab w:leader="none" w:pos="4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each representing one of our Class A ordinary shares, have been quoted on The Nasdaq Global Select Market system under the symbol “WB” since April 17, 2014.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December 8, 2021 under the stock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“9898.”</w:t>
      </w:r>
    </w:p>
    <w:p>
      <w:pPr>
        <w:spacing w:after="0" w:line="189" w:lineRule="exact"/>
        <w:rPr>
          <w:sz w:val="20"/>
          <w:szCs w:val="20"/>
          <w:color w:val="auto"/>
        </w:rPr>
      </w:pPr>
    </w:p>
    <w:p>
      <w:pPr>
        <w:ind w:left="660" w:right="7940" w:hanging="652"/>
        <w:spacing w:after="0" w:line="505" w:lineRule="auto"/>
        <w:tabs>
          <w:tab w:leader="none" w:pos="401"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400" w:hanging="392"/>
        <w:spacing w:after="0"/>
        <w:tabs>
          <w:tab w:leader="none" w:pos="4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400" w:hanging="392"/>
        <w:spacing w:after="0"/>
        <w:tabs>
          <w:tab w:leader="none" w:pos="4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current fourth memorandum and articles of association, the Companies Act (As Revised) of the Cayman Islands, referred to as the Companies Act below, and the common law of the Cayman Islands. The following are summaries of certain provisions of our memorandum and articles of association in effect as of the date of this annual report insofar as they relate to the material terms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Vistra (Cayman) Limited at P.O. Box 31119 Grand Pavilion Hibiscus Way, 802 West Bay Road Grand Cayman, KY1-1205, Cayman Islands. The memorandum of association provides, inter alia, that the liability of each of the members of our company is limited to the amount from time to time unpaid on such member’s shares. The objects for which our company is established are unrestricted, and we shall have full power and authority to carry out any object not prohibited or limited by the Companies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Employees—C. Board Practices—Duties of Directors” and “Item 6. Directors, Senior Management and Employees—C. Board Practices—Terms of Directors and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Certificates representing the ordinary shares are issued in registered form. Our shareholders who are non-residents of the Cayman Islands may freely hold and vote their ordinary shares. Our company will issue only non-negotiable shares, and will not issue bearer or negotiable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212" w:lineRule="exact"/>
        <w:rPr>
          <w:sz w:val="20"/>
          <w:szCs w:val="20"/>
          <w:color w:val="auto"/>
        </w:rPr>
      </w:pPr>
    </w:p>
    <w:p>
      <w:pPr>
        <w:jc w:val="both"/>
        <w:ind w:left="1000" w:hanging="317"/>
        <w:spacing w:after="0" w:line="261"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together with a statement of the shares held by each member, and such statement shall confirm (i) of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16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our company’s register of members was updated to record and give effect to our issue of shares to the Depositary (or its nominee) as the depositary, and the shareholders recorded in the register of members are deemed to have legal title to the shares set against their name.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or shareholders in general meeting (provided always no dividend may exceed the amount recommended by our directors, and provided further that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Classes of Ordinary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In addition, each Class B ordinary share shall automatically and immediately be converted (by way of being re-designated) into one Class A ordinary share upon (a) any sale, transfer, assignment or disposition of Class B ordinary shares by a holder thereof to any person or entity which is not Mr. Charles Chao, or the Founder or a Founder’s Affiliate (as defined in our memorandum and articles of association); or (b) a change of control of any direct or indirect holder of any Class B ordinary shares, including, but not limited to, any person other than the Founder or a Founder’s Affiliate gaining “Control” over any of SINA Parent Companies (e.g., by entering into an agreement with the Founder to jointly control the SINA Parent Companies), and even if the Founder or a Founder’s Affiliate remains to have joint “Control” of the SINA Parent Companies, all of the Class B ordinary shares to be held by such person or entity that is not the Founder or a Founder’s Affiliate shall be automatically and immediately converted (by way of being re-designated) into an equal number of Class A ordinary shares. Moreover, each Class B ordinary share shall automatically and immediately be converted (by way of being re-designated) into one Class A ordinary share if at any time SINA and its Affiliates (as defined in our memorandum and articles of association) in the aggregate hold less than five percent (5%) of the issued Class B ordinary shares in our company, and no Class B ordinary shares shall be issued by our company thereafter. Class A ordinary shares are not convertible into Class B ordinary shares under any circumstances.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“Control” shall mean having (A) the power to control the management or elect a majority of members to the board of directors or equivalent decision-making body of, or (B) the power to exercise or control the exercise of 50% or more of the voting power (through power of attorney, voting proxies, shareholders’ agreements or otherwise) at the general meetings or other equivalent decision-making body of, such corporation, partnership or other entity. “SINA Parent Companies” shall mean the holding companies of Weibo Corporation, including New Wave MMXV Limited, Sina Group Holding Company Limited, SINA Corporation and any other intermediate holding company(ies) of Sina Corporation that may be established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Holders of ordinary shares have the right to receive notice of, attend, speak and vote at general meetings of our company except where a shareholder is required, by the rules of the stock exchange on which our ADSs or shares are listed for trading, to abstain from voting to approve the matter under consideration.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which means, in respect of any person, such person’s presence at a general meeting of members, which may be satisfied by means of such person or, if a corporation or other non-natural person, its duly authorized representative (or, in the case of any member, a proxy which has been validly appointed by such member in accordance with our memorandum and articles of association), being: (a) physically present at the meeting; or (b) in the case of any meeting at which “Communication Facilities” are permitted in accordance with our memorandum and articles of association, including any “Virtual Meeting,” connected by means of the use of such Communication Facilities.</w:t>
      </w:r>
    </w:p>
    <w:p>
      <w:pPr>
        <w:spacing w:after="0" w:line="1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“Communication Facilities” mean video, videoconferencing, internet or online conferencing applications, telephone or tele-conferencing and/or any other video communication, internet or online conferencing application or telecommunications facilities by means of which all persons participating in a meeting are capable of hearing and be heard by each other.</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“Virtual Meeting” means any general meeting of the members at which the members (and any other permitted participants of such meeting, including, without limitation, the chairman of such meeting and any directors of our company) are permitted to attend and participate solely by means of Communication Facilities.</w:t>
      </w:r>
    </w:p>
    <w:p>
      <w:pPr>
        <w:spacing w:after="0" w:line="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Act and not inconsistent with common law. Maples and Calder (Hong Kong) LLP has confirmed that the inclusion in our memorandum and articles of association of provisions giving weighted voting rights to specific shareholders generally or on specific resolutions is not prohibited by the Companies Act. Further, weighted voting provisions have been held to be valid as a matter of English common law and therefore it is expected that such would be upheld by a Cayman Islands court.</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attached to the ordinary shares cast by those shareholders who are Present at a general meeting, while a special resolution requires the affirmative vote of no less than two-thirds of the votes attached to the ordinary shares cast by those shareholders who are Present at a general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our shareholders may transfer all or any of his or her ordinary shares by an instrument of transfer in the usual or common form or any other form approved by our board of directors.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129" w:lineRule="exact"/>
        <w:rPr>
          <w:sz w:val="20"/>
          <w:szCs w:val="20"/>
          <w:color w:val="auto"/>
        </w:rPr>
      </w:pPr>
    </w:p>
    <w:p>
      <w:pPr>
        <w:jc w:val="both"/>
        <w:ind w:left="1000" w:hanging="317"/>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ordinary of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1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transferred are free of any lien in favor of us;</w:t>
      </w:r>
    </w:p>
    <w:p>
      <w:pPr>
        <w:spacing w:after="0" w:line="1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related to the transfer has been paid to us; and</w:t>
      </w:r>
    </w:p>
    <w:p>
      <w:pPr>
        <w:spacing w:after="0" w:line="17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which the share is to be transferred does not exceed four.</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We are a “limited liability” company registered under the Companies Act, and under the Companies Act, the liability of our members is limited to the amount, if any, unpaid on the shares respectively held by them. Our memorandum of association contains a declaration that the liability of our members is so limited.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all or any of the rights attached to any class of shares may be varied or abrogated with the consent in writing of the holders of not less than two-thirds in nominal value of the issued shares of that class or with the sanction of a special resolution passed at a separate meeting of the holders of shares of that class. The rights conferred upon the holders of the shares of any class issued with preferred or other rights will not, unless otherwise expressly provided in the rights attaching to or the terms of issue of the shares of that class, be deemed to be varied or abrogated by the creation or issue of further shares ranking pari passu with such existing class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of association provide that we shall in each financial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Advance notice of at least 21 calendar days is required for the convening of our annual general shareholders’ meeting and at least 14 calendar days for any extraordinary general meeting of our shareholders. The notice of any general meeting (including a postponed or reconvened meeting) at which Communication Facilities will be utilized (including any Virtual Meeting) must disclose the Communication Facilities that will be utilized, including the procedures to be followed by any member or other participant of the general meeting who wishes to utilize such Communication Facilities for the purpose of attending, participating and voting at such meeting. A quorum required for a general meeting of shareholders consists of one or more shareholders together holding at the date of any specific meeting not less than 10% of all votes attaching to all shares Present, which carry the right to vote at general meetings.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one or more shareholders holding shares representing in aggregate not less than 10% of all votes attaching to all shares Present, on a one vote per share basis, which carry the right to vote at general meetings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our memorandum and articles of association provide that our board of directors will consist of not less than two directors. There are no provisions relating to retirement of directors upon reaching any age limit.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directors have the power to appoint any person as a director either to fill a casual vacancy on the board or as an addition to the existing board. Any director so appointed shall hold office only until the first annual general meeting of our company after his or her appointment and shall then be eligible for re-election at that meeting. At each annual general meeting, one-third of the directors for the time being,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(unless they otherwise agree between themselves) be determined by lot. A retiring director shall retain office until the close of the meeting at which he retires, and shall be eligible for re-election thereat.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also appoint any person to be a director by way of ordinary resolution.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director (no matter a managing director or executive director) may be removed with or without cause by an ordinary resolution of our shareholders. The office of a director shall also be vacated automatically if, among other things, the director (1) becomes bankrupt or has a receiving order made against him or suspends payment or compounds with his creditors generally; or (2) an order is made by any competent court or official on the grounds that he is or may be suffering from mental disorder or is otherwise incapable of managing his affairs and the board of directors resolves that his office be vacated; or (3) without leave, is absent from meetings of the board for a continuous period of 12 months, and the board resolves that his office be vacated; or (4) ceases to be or is prohibited from being a director by law or by virtue of any provisions in our articles of association; or (5) is removed from office by notice in writing served upon him signed by not less than three-fourths in number (or, if that is not a round number, the nearest lower round number) of our directors (including himself) then in office.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of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provide that our business is to be managed and conducted by our board of directors. The quorum necessary for board meetings may be fixed by the board and, unless so fixed at another number, will be a majority of the directors then in office.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memorandum and articles of association provide that our board of directors may from time to time at its discretion exercise all powers of our company to raise or borrow or to secure the payment of any sum or sums of money for the purposes of our company and to mortgage or charge the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our ordinary shares have no general right under Cayman Islands law to inspect or obtain copies of our list of shareholders or our corporate records (other than the memorandum and articles of association, the register of mortgages and charges, and copies of any special resolutions passed by our shareholders). Under Cayman Islands law, the names of our current directors can be obtained from a search conducted at the Registrar of Companies in the Cayman Islands. However, we intend to provide our shareholders with annual audited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w:t>
      </w:r>
    </w:p>
    <w:p>
      <w:pPr>
        <w:spacing w:after="0" w:line="225" w:lineRule="exact"/>
        <w:rPr>
          <w:sz w:val="20"/>
          <w:szCs w:val="20"/>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amount, as the resolution shall prescribe;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58"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96"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66" w:lineRule="exact"/>
        <w:rPr>
          <w:sz w:val="20"/>
          <w:szCs w:val="20"/>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required to be open to inspection;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Except as otherwise disclosed in this annual report on Form 20-F, we currently intend to comply with Nasdaq rules in lieu of following home country practice.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75% in value of shareholders or class of shareholders, as the case may be; or (b) a majority in number representing 75% in value of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7" w:lineRule="exact"/>
        <w:rPr>
          <w:sz w:val="20"/>
          <w:szCs w:val="20"/>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170" w:lineRule="exact"/>
        <w:rPr>
          <w:sz w:val="20"/>
          <w:szCs w:val="20"/>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acts which is illegal or ultra vires;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could only be effected duly if authorized by a special or qualified majority vote that has not been obtained;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on the minority where the wrongdoers are themselves in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Memorandum and Articles of Association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he owes the following duties to the company—a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one or more shareholders holding shares representing in aggregate not less than 10% of all votes attaching to all shares Present, on a one vote per share basis, which carry the right to vote at general meetings, the board shall convene an extraordinary general meeting. However, our memorandum and articles of association do not provide our shareholders with any right to 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financial year to hold a general meeting as our annual general meeting in addition to any other meeting in that financial year. The annual general meeting may be held at such time and place as our board of directors shall appoint.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ordinary resolution of our shareholders. The office of a director shall also be vacated automatically if, among other things, the director (1) becomes bankrupt or has a receiving order made against him or suspends payment or compounds with his creditors generally; or (2) an order is made by any competent court or official on the grounds that he is or may be suffering from mental disorder or is otherwise incapable of managing his affairs and our board of directors resolves that his office be vacated; or (3) without leave, is absent from meetings of the board for a continuous period of 12 months, and our board of directors resolves that his office be vacated; or (4) ceases to be or is prohibited from being a director by law or by virtue of any provisions in our memorandum and articles of association; or (5) is removed from office by notice in writing served upon him signed by not less than three-fourths in number (or, if that is not a round number, the nearest lower round number) of our directors (including himself) then in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for a proper corporate purpose and not with the effect of constituting a fraud on the minority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900" w:hanging="244"/>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only with the written consent of the holders of not less than two-thirds in nominal value of the issued shares of that class or with the sanction of a special resolution passed at a separate meeting of the holders of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and our memorandum and articles of association, our memorandum and articles of association may only be amended by a special resolution of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of association, our board of directors is empowered to issue or allot shares or grant options and warrants with or without preferred, deferred, qualified or other special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for the two years immediately preceding the date of this annual report other than in the ordinary course of business and other than those described elsewhere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on Foreign Exchange” and “Item</w:t>
      </w:r>
    </w:p>
    <w:p>
      <w:pPr>
        <w:spacing w:after="0" w:line="27" w:lineRule="exact"/>
        <w:rPr>
          <w:sz w:val="20"/>
          <w:szCs w:val="20"/>
          <w:color w:val="auto"/>
        </w:rPr>
      </w:pPr>
    </w:p>
    <w:p>
      <w:pPr>
        <w:jc w:val="both"/>
        <w:ind w:firstLine="8"/>
        <w:spacing w:after="0" w:line="247"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Relating to Doing Business in China—We may be subject to penalties, including restriction on our ability to inject capital into our PRC subsidiaries and our PRC subsidiaries’ ability to distribute profits to us, if our PRC resident shareholders beneficial owners fail to comply with PRC foreign exchange rules.”</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material Cayman Islands, PRC and U.S. federal income tax considerations generally applicable to an investment in our ADSs or Class A ordinary shares is based upon laws and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Although we are incorporated in the Cayman Islands, we may be treated as a PRC resident enterprise for PRC tax purposes under the Enterprise Income Tax Law. The Enterprise Income Tax Law provides that an enterprise established under the laws of a foreign country or region but whose “de facto management body” is located in the PRC is treated as a PRC resident enterprise for PRC tax purposes and consequently subject to the PRC income tax at the rate of 25% on its global income. The implementing rules of the Enterprise Income Tax Law merely define the location of the “de facto management body” as the place where the “organizational body which effectively manages and controls the production and business operation, personnel, accounting, properties and other aspects of operations of an enterprise” is located. Based on a review of surrounding facts and circumstances, we do not believe that we should be considered a PRC resident enterprise for PRC tax purposes. However, there is limited guidance and implementation history of the Enterprise Income Tax Law, and if we are treated as a PRC resident enterprise for PRC tax purposes, we will be subject to PRC tax on our global income at a uniform tax rate of 25%. In addition, as most of our operations are located within the PRC, interest and dividends payable by us to you, as well as any gain you may realize from the sale of our notes, ADSs or Class A ordinary shares, may be deemed to be derived from sources within China. As a result, if we are treated as a “resident enterprise” for PRC tax purposes, such interest, dividends and gain may be subject to PRC tax. Any such tax may materially and adversely affect the value of your investment in our ADSs and Class A ordinary shares.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a PRC resident enterprise, PRC income tax at the rate of 10% will generally be applicable to interest and dividends payable by us to investors that are “non-resident enterprises” of the PRC, if such investors do not have an establishment or place of business in the PRC, or if they have such establishment or place of business in the PRC but the income is not effectively connected with such establishment or place of business, to the extent such interest or dividends have their sources within the PRC. In the case of non-PRC resident individual investors, the tax may be withheld at a rate of 20%.</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Furthermore, any gain realized on the transfer of our notes, ADSs or Class A ordinary shares by non-resident enterprise investors would be subject to PRC income tax at 10% if such gain is regarded as income derived from sources within the PRC. In the case of non-PRC resident individual investors, a PRC income tax rate of 20% may apply on such gain.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tax rates could be reduced by applicable tax treaties or similar arrangements between China and the jurisdiction of the investor. For example, for investors in Hong Kong, the tax rate is reduced to 7% for interest payments and 5% for dividends. However, it is unclear whether non-PRC holders would be able to obtain the benefits of any tax treaties between their country of tax residence and China in the event that we are treated as a PRC resident enterprise.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interest payments may be subject to withholding of PRC value-added tax (including related local levies and any other related tax collected at source).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on distributions from VIEs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Pursuant to the contractual agreements with the VIEs and their respective shareholders, our PRC subsidiaries charge the VIEs for technical service fees. For income tax purposes, our PRC subsidiaries and VIEs file income tax returns on a separate basis. The technical service fees paid by the VIEs will be recognized as tax deduction for the VIEs and as income by our PRC subsidiaries and are tax neutral when the VIEs and PRC subsidiaries have the same income tax rate.</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If the accumulated earnings of the VIEs exceed the fees paid to our PRC subsidiaries (or if the current and contemplated fee structure between the intercompany entities is determined to be non-substantive and disallowed by Chinese tax authorities), the VIEs could, as a last resort, make a non-tax deductible transfer to our PRC subsidiaries for stranded cash in the VIEs, representing the excess of earnings over fees paid. Such transfer would be recognized as non-tax deductible expenses for the VIEs and taxable income for the PRC subsidiaries.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U.S. Holders (as defined below) that will hold our ADSs or Class A ordinary shares as “capital assets” (generally, property held for investment) under the U.S. Internal Revenue Code of 1986, as amended (the “Code”). This discussion is based on applicable provisions of the Code, Treasury regulations promulgated thereunder, (the “Treasury Regulations”), and pertinent judicial decisions and interpretive rulings of the Internal Revenue Service (the “IRS”), all of which are subject to change and differing interpretations, possibly with retroactive effect. This discussion does not address all aspects of U.S. federal income taxation that may be relevant to particular U.S. Holders in light of our individual investment circumstances, including U.S. Holders subject to special tax rules (for example, certain financial institutions, insurance companies, broker-dealers, pension plans, regulated investment companies, real estate investment trusts, cooperatives, tax-exempt organizations (including private foundations), U.S. Holders that own (directly, indirectly or constructively) 10% or more of our equity (by vote or value), U.S. Holders that hold their ADSs or Class A ordinary shares as part of a straddle, hedge, conversion, constructive sale, or other integrated transaction for U.S. federal income tax purposes, traders in securities that elect to use the mark-to-market method of accounting, U.S. Holders whose functional currency is not the U.S. dollar or certain former citizens or long-term residents of the United States), all of which may be subject to tax rules that differ significantly from those discussed below.</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any considerations relating to state, local, or non-U.S. or any U.S. federal estate, gift, or alternative minimum tax or the Medicare tax on certain net investment income. U.S. Holders should consult their tax advisors regarding the U.S. federal, state, local and non-U.S. income and other tax considerations applicable to owning and disposing of our ADSs or Class A ordinary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this discussion, a “U.S. Holder” is a beneficial owner (as determined for U.S. federal income tax purposes) of our ADSs or Class A ordinary shares that is, for U.S. federal income tax purposes: (i) an individual who is a citizen or resident of the United States, (ii) a corporation (or other entity treated as a corporation for U.S. federal income tax purposes) created or organized in or under the laws of the United States, any state thereof or the District of Columbia, (iii) an estate, the income of which is subject to U.S. federal income taxation regardless of its source or (iv) a trust that (A) is subject to the primary supervision of a court within the United States and the control of one or more U.S. persons with respect to all substantial decisions or (B) has a valid election in effect under applicable Treasury Regulations to be treated as a United States person.</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ADSs or Class A ordinary shares, the U.S. federal income tax treatment of a partner in such partnership will generally depend on the status of the partner and the activities of the partnership. Partners in a partnership holding our ADSs or Class A ordinary shares should consult their tax advisors regarding the tax considerations applicable to the partnership’s investment in our ADSs or Class A ordinary shares.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 terms thereof. A U.S. Holder that holds ADSs will generally be treated as the holder of the underlying Class A ordinary shares represented by those ADSs for U.S. federal income tax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non-U.S. corporation, such as our company, will be a passive foreign investment company, or a PFIC, for U.S. federal income tax purposes for any taxable year if either (i) 75% or more of its gross income for such year consists of “passive” income or (ii) 50% or more of the value of its assets (generally determined on the basis of a quarterly average) during such year produce or are held for the production of passive income, or the asset test. Passive income generally includes dividends, interest, royalties, rents, annuities, net gains from the sale or exchange of property producing such income and net foreign currency gains. For this purpose, cash and assets readily convertible into cash are generally categorized as passive assets, and goodwill and other unbooked intangibles associated with active business activity are generally taken into account as non-passive assets. We will be treated as owning our proportionate share of the assets and earning our proportionate share of the income of any other corporation in which we own, directly or indirectly, at least 25% (by value) of the stock.</w:t>
      </w:r>
    </w:p>
    <w:p>
      <w:pPr>
        <w:spacing w:after="0" w:line="1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VIEs as being owned by us for U.S. federal income tax purposes because we control their management decisions, we are entitled to substantially all of their economic benefits, and, as a result, we consolidate their results of operations in our consolidated U.S. GAAP financial statements. If it were determined, however, that we do not own the VIEs for U.S. federal income tax purposes, it may increase the likelihood that we will be treated as a PFIC for our current taxable year and any subsequent taxable year.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Assuming that we are treated as owning the VIEs for U.S. federal income tax purposes, and base upon our income and assets, including unbooked goodwill (the value of which is determined by reference to the market value of our ADSs and Class A ordinary shares), it is likely that we will be a PFIC for the taxable year ended December 31, 2025, and that we could continue to be a PFIC for the current and subsequent taxable years. However, PFIC status is a factual determination that must be made annually at the close of each taxable year on the basis of the composition of our income and assets and our subsidiaries’ income and assets and, thus, is subject to change. In addition, the value of our assets, including goodwill, will generally be determined by reference to the market price of our ADSs and ordinary shares, which may fluctuate significantly. Furthermore, even if the composition of our assets and income were to change such that we believed that we were not a PFIC, there are uncertainties in the application of the relevant rules, and it is possible that the IRS may challenge our classification of certain income or assets as non-passive, or our valuation of our goodwill and other unbooked intangibles, all of which could affect whether we are a PFIC for the current or subsequent taxable years. Accordingly, there can be no assurance regarding our PFIC status for our current or subsequent taxable years. In addition, it is possible that any subsidiary that we own or are treated as owning for U.S. federal income tax purposes would also be a PFIC for such taxable years.</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the PFIC rules discussed below under “—Passive Foreign Investment Company Rules” will generally apply to such U.S. Holder for such taxable year and, unless the U.S. Holder makes certain elections, will generally apply in future years even if we cease to be a PFIC for U.S. federal income tax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such holder will be subject to special tax rules with respect to any “excess distribution” that such holder receives and any gain such holder realizes from a sale or other disposition (including a pledge) of our ADSs or Class A ordinary shares, unless such holder makes a “mark-to-market” election as discussed below. As noted above, based on our income and assets (including unbooked goodwill), as well as the market price of our ADSs and Class A ordinary shares, it is likely that we will be a PFIC for the taxable year ended December 31, 2025, and could continue to be a PFIC for the current and subsequent taxable years. As a result, distributions a U.S. Holder receives in a taxable year that are greater than 125% of the average annual distributions that such holder received during the shorter of the three preceding taxable years or such holder’s holding period for the ADSs or Class A ordinary shares will be treated as excess distributions. Under these special tax rules:</w:t>
      </w:r>
    </w:p>
    <w:p>
      <w:pPr>
        <w:spacing w:after="0" w:line="150" w:lineRule="exact"/>
        <w:rPr>
          <w:sz w:val="20"/>
          <w:szCs w:val="20"/>
          <w:color w:val="auto"/>
        </w:rPr>
      </w:pPr>
    </w:p>
    <w:p>
      <w:pPr>
        <w:ind w:left="1000" w:hanging="317"/>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or gain will be allocated ratably over such holder’s holding period for the ADSs or Class A ordinary shares;</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to any taxable years in such holder’s holding period prior to the first taxable year in which we are classified as a PFIC (each a “pre-PFIC year”) will be taxable as ordinary income; and</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taxable year other than the current taxable year or a pre-PFIC year, will be subject to tax at the highest tax rate in effect with respect to such holder for the applicable year, and the resulting tax will be increased by an additional tax equal to interest on the tax deemed deferred with respect to each such year.</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U.S. Holder of “marketable stock” (as defined below) in a PFIC may elect out of the excess distribution regime described above by making a mark-to-market election for such stock. If a U.S. Holder makes a valid mark-to-market election for its ADSs or Class A ordinary shares, such holder will include in income each year an amount equal to the excess, if any, of the fair market value of the ADSs or Class A ordinary shares as of the close of such holder’s taxable year over such holder’s adjusted basis in such ADSs or Class A ordinary shares at such time. The U.S. Holder will be allowed a deduction for the excess, if any, of the adjusted basis of the ADSs or Class A ordinary shares over their fair market value as of the close of the taxable year. However, deductions will be allowable only to the extent of any net mark-to-market gains on the ADSs or Class A ordinary shares included in the U.S. Holder’s income for prior taxable years. Amounts included in the U.S. Holder’s income under a mark-to-market election, as well as gain on the actual sale or other disposition of the ADSs or Class A ordinary shares in a year that we are a PFIC, will be treated as ordinary income. Ordinary loss treatment will also apply to the deductible portion of any mark-to-market loss on the ADSs or Class A ordinary shares, as well as to any loss realized on the actual sale or disposition of the ADSs or Class A ordinary shares in a year that we are a PFIC, to the extent that the amount of such loss does not exceed the net mark-to-market gains previously included in income for such ADSs or Class A ordinary shares. A U.S. Holder’s basis in the ADSs or Class A ordinary shares will be adjusted to reflect any such gain or loss amounts. If a U.S. Holder makes a mark-to-market election, tax rules that apply to distributions by corporations that are not PFICs would apply to distributions by us (except that the lower applicable capital gains rate would not apply). If a U.S. Holder makes a valid mark-to-market election and we subsequently cease to be a PFIC, such holder will not be required to take into account the mark-to-market income or loss described above during any period during which we are not classified as a PFIC.</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other than in de minimis quantities on at least 15 days during each calendar quarter (“regularly traded”) on a qualified exchange or other market, as defined in applicable Treasury Regulations. Our ADSs are listed on the Nasdaq Global Select Market, which is a qualified exchange for these purposes, and, consequently, assuming that the ADSs are regularly traded, it is expected that the mark-to-market election will be available to U.S. Holders of ADSs if we are or become a PFIC. Our Class A ordinary shares are listed on the Hong Kong Stock Exchange, which must meet certain trading, listing, financial disclosure and other requirements to be treated as a qualified exchange for these purposes, and no assurance can be given that our Class A ordinary shares will be regularly traded for purposes of the mark-to-market election.</w:t>
      </w:r>
    </w:p>
    <w:p>
      <w:pPr>
        <w:spacing w:after="0" w:line="1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holder of shares in a PFIC can sometimes avoid the excess distribution regime by making a qualified electing fund election, in which case such holder would generally be required to include in income on a current basis such holder’s pro rata share of the PFIC’s ordinary earnings as ordinary income and such holder’s pro rata share of the PFIC’s net capital gains as capital gain. We do not intend to provide the information necessary for U.S. Holders to make qualified electing fund elections, however, and we make no undertaking to provide such information in the event that we are or become a PFIC.</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non-U.S. subsidiaries are also PFICs, such holder will be treated as owning a proportionate amount (by value) of the shares of each such non-U.S. subsidiary classified as a PFIC for purposes of the application of these rules. Because as a technical matter, a mark-to-market election cannot be made for any lower-tier PFICs that we may own, a U.S. Holder may continue to be subject to the general PFIC rules with respect to such holder’s indirect interest in any investment held by us that is treated as an equity interest in a PFIC for U.S. federal income tax purposes.</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classified as a PFIC, a U.S. Holder will generally be required to file an annual report with the IRS with respect to its investment in our ADSs or Class A ordinary shares. U.S. Holders should consult their tax advisors concerning the U.S. federal income tax considerations of owning and disposing of our ADSs or Class A ordinary shares if we were, are, or become a PFIC, including the inability to make a qualified electing fund election, the possibility of making a mark-to-market election and the annual PFIC filing requirements, if 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noted above, we will likely be a PFIC for our taxable year ended December 31, 2025, and may also be a PFIC for our current taxable year. Accordingly, the treatment most likely to apply to a U.S. Holder is set forth above in “—Passive Foreign Investment Company Rules.” If our ADSs or Class A ordinary shares are not treated as stock of a PFIC with respect to a particular U.S. Holder, the following rules will generally apply.</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distributions (including the amount of any PRC tax withheld) paid on our ADSs or Class A ordinary shares out of our current or accumulated earnings and profits (as determined for U.S. federal income tax purposes) will generally be includible in a U.S. Holder’s gross income as ordinary dividend income on the day actually or constructively received by such holder, in the case of Class A ordinary shares, or by the depositary, in the case of ADSs. Because we do not intend to determine our earnings and profits for U.S. federal income tax purposes, any distribution paid will generally be treated as dividend income for U.S. federal income tax purposes. Dividends received on our ADSs or Class A ordinary shares will not be eligible for the dividends received deduction allowed to corporations under the Code.</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Individuals and other non-corporate U.S. Holders will generally be subject to tax on any such dividends at the lower capital gains tax rate applicable to “qualified dividend income,” provided that certain conditions are satisfied, including that (i) our ADSs or Class A ordinary shares on which the dividends are paid are readily tradable on an established securities market in the United States, or, if we are deemed to be a PRC resident enterprise under the PRC tax law, we are eligible for the benefits of the U.S.-PRC income tax treaty (the “Treaty”), (ii) we are neither a PFIC nor treated as such with respect to the U.S. Holder (as discussed above) for the taxable year in which the dividend was paid or the preceding taxable year, and (iii) certain holding period requirements are met. Our ADSs, but not our Class A ordinary shares, are listed on the Nasdaq Global Select Market so we anticipate that our ADSs should qualify as readily tradable on an established securities market in the United States, although there can be no assurances in this regard.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Dividends received on our ADSs or Class A ordinary shares will generally be treated as income from foreign sources and will generally constitute passive category income for U.S. foreign tax credit purposes. If we are deemed to be a PRC resident enterprise under PRC tax law, a U.S. Holder may be subject to PRC withholding taxes on such dividends. Any such PRC withholding taxes to the extent not in excess of any reduced rate provided by the Treaty will generally be creditable against a U.S. Holder’s U.S. federal income tax liability, subject to a number of complex limitations. A U.S. Holder that does not elect to claim a foreign tax credit for foreign tax withheld is permitted instead to claim a deduction for U.S. federal income tax purposes for the foreign tax withheld, but only for a year in which such holder elects to do so for all creditable foreign income taxes. The rules governing the foreign tax credit are complex. U.S. Holders should consult their tax advisors regarding the availability of the foreign tax credit or a deduction in lieu thereof in light of in their particular circumstances.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Class A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noted above, we will likely be a PFIC for our taxable year ended December 31, 2025, and may also be a PFIC for our current taxable year. Accordingly, the treatment most likely to apply to a U.S. Holder is set forth above in “—Passive Foreign Investment Company Rules.” If our ADSs or Class A ordinary shares are not treated as stock of a PFIC with respect to a particular U.S. Holder, the following rules will generally apply.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the sale or other taxable disposition of our ADSs or Class A ordinary shares in an amount equal to the difference, if any, between the amount realized on the disposition and such holder’s adjusted tax basis in such ADSs or Class A ordinary shares, both determined in U.S. dollars. Any such capital gain or loss will be long-term capital gain or loss if the U.S. Holder’s holding period in the ADSs or Class A ordinary shares exceeds one year at the time of disposition. The deductibility of capital losses is subject to limitations. Any such gain or loss will generally be U.S.-source gain or loss for U.S. foreign tax credit purposes, which may limit the U.S. Holder’s ability to claim a foreign tax credit in respect of any foreign tax imposed on the disposition unless the U.S. Holder has other income that is treated as derived from foreign sources.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however, we were deemed to be a PRC resident enterprise under PRC tax law, and gain from the disposition of the ADSs or Class A ordinary shares were subject to tax in the PRC, a Treaty-eligible U.S. Holder may apply the Treaty to treat such gain as PRC-source gain for U.S. foreign tax credit purposes. Treaty-eligible U.S. Holders that do not apply the Treaty and U.S. Holders that are not Treaty-eligible may not be able to claim a foreign tax credit for any PRC tax imposed on a sale or other disposition of our ADSs or Class A ordinary shares. Any such U.S. Holder may instead elect to deduct such taxes in computing its taxable income for U.S. federal income tax purposes, but only for a year in which such U.S. Holder elects to do so for all foreign taxes paid or accrued during such year. The rules regarding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U.S. Holders are required to report their holdings of certain foreign financial assets, including equity of foreign entities, if the aggregate value of all of these assets exceeds certain threshold amounts. The ADSs and Class A ordinary shares are expected to constitute foreign financial assets subject to these requirements unless the ADSs and Class A ordinary shares are held in an account at certain financial institutions. U.S. Holders should consult their tax advisors regarding the application of these reporting requirements, and the significant penalties for non-compliance.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THIS PRECEDING DISCUSSION IS FOR INFORMATION PURPOSES ONLY AND IS NOT TAX ADVICE. U.S. HOLDERS SHOULD CONSULT THEIR TAX ADVISORS REGARDING THE U.S. FEDERAL, STATE, LOCAL AND NON-U.S. INCOME AND OTHER TAX CONSIDERATIONS APPLICABLE TO THE OWNERSHIP AND DISPOSITION OF OUR ADSs AND CLASS A ORDINARY SHARES, AS WELL AS THE EFFECT OF ANY U.S. FEDERAL ESTATE OR GIFT TAX LAWS AND ANY APPLICABLE INCOME TAX TREATY.</w:t>
      </w:r>
    </w:p>
    <w:p>
      <w:pPr>
        <w:spacing w:after="0" w:line="183" w:lineRule="exact"/>
        <w:rPr>
          <w:sz w:val="20"/>
          <w:szCs w:val="20"/>
          <w:color w:val="auto"/>
        </w:rPr>
      </w:pPr>
    </w:p>
    <w:p>
      <w:pPr>
        <w:ind w:left="660" w:right="7340" w:hanging="652"/>
        <w:spacing w:after="0" w:line="477" w:lineRule="auto"/>
        <w:tabs>
          <w:tab w:leader="none" w:pos="33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internet address is http://ir.weibo.com. We make available free of charge on or through our website our annual reports, quarterly reports, current reports, and amendments to those reports filed or furnished pursuant to Section 13(a) or 15(d) of the Exchange Act as soon as reasonably practicable after we electronically file or furnish such material with the SEC. We may from time to time provide important disclosures to investors by posting them in the investor relations section of our website, as allowed by the SEC rules. Information contained on Weibo’s website is not part of this report or any other report filed with the SEC. All information we file with the SEC can be obtained over the internet at the SEC’s website at www.sec.gov.</w:t>
      </w:r>
    </w:p>
    <w:p>
      <w:pPr>
        <w:spacing w:after="0" w:line="185" w:lineRule="exact"/>
        <w:rPr>
          <w:sz w:val="20"/>
          <w:szCs w:val="20"/>
          <w:color w:val="auto"/>
        </w:rPr>
      </w:pPr>
    </w:p>
    <w:p>
      <w:pPr>
        <w:ind w:left="660" w:right="7780" w:hanging="652"/>
        <w:spacing w:after="0" w:line="505" w:lineRule="auto"/>
        <w:tabs>
          <w:tab w:leader="none" w:pos="336"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660" w:right="6840" w:hanging="652"/>
        <w:spacing w:after="0" w:line="485" w:lineRule="auto"/>
        <w:tabs>
          <w:tab w:leader="none" w:pos="40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 To date, we have not entered into any hedging transactions in an effort to reduce our exposure to foreign currency exchange risk.</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revenues and costs and expenses are mostly denominated in RMB, and a significant portion of our financial assets are also denominated in RMB, whereas our reporting currency is the U.S. dollars. Any significant depreciation of the RMB may materially and adversely affect our revenues, earnings and financial position as reported in U.S. dollars. To the extent that we need to convert U.S. dollars we received from our financing activities into RMB for our operations, appreciation of the RMB against the U.S. dollars would have an adverse effect on the RMB amount we would receive from the conversion. Conversely, if we decide to convert our RMB into U.S. dollars for the purpose of making payments for dividends on our ordinary shares or ADSs, repaying the principal and interest of our 2030 Senior Notes, 2027 Loans and 2030 Convertible Notes, which are all denominated in U.S. dollars, or for other business purposes, appreciation of the U.S. dollars against the RMB would have a negative effect on the U.S. dollars amount available to us.</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Below is a sensitivity analysis on the impact of a change in the value of the RMB against the U.S. dollars assuming: (1) projected net income from operation in China equal to the net income of 2025, (2) projected net assets of the operation in China equal to the balances in RMB and U.S. dollars as of December 31, 2025 and (3) currency fluctuation occurs proportionately over the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6"/>
                <w:szCs w:val="16"/>
                <w:color w:val="auto"/>
              </w:rPr>
            </w:pPr>
          </w:p>
        </w:tc>
      </w:tr>
      <w:tr>
        <w:trPr>
          <w:trHeight w:val="189"/>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Adjustments to</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Gain</w:t>
            </w:r>
          </w:p>
        </w:tc>
      </w:tr>
      <w:tr>
        <w:trPr>
          <w:trHeight w:val="215"/>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 in the Value of RMB Against the U.S. Dollars</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171"/>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(In US$ thousands)</w:t>
            </w:r>
          </w:p>
        </w:tc>
      </w:tr>
      <w:tr>
        <w:trPr>
          <w:trHeight w:val="23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Appreciate 2%</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Appreciate 5%</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Depreciate 2%</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(69,575)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Depreciate 5%</w:t>
            </w:r>
          </w:p>
        </w:tc>
        <w:tc>
          <w:tcPr>
            <w:tcW w:w="24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(173,741)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main interest rate exposure relates to our indebtedness and interest-bearing assets, including cash and cash equivalents, short term investments, and long-term wealth management products. We have not used any derivative financial instruments to manage our interest risk exposure. However, our future interest income may fall short of expectations or our interest expense may increase due to changes in market interest rates.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our equity investments totaled US$1,663.3 million.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(referred to as the measurement alternative). Changes in the basis of these investments are reported in current earnings. We recognized fair value change gain of US$21.3 million in equity securities other than equity method investments for the year ended December 31, 2025.</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investments other than equity method are subject to a wide variety of market related risks that could substantially reduce or increase the fair value of our holdings. Investments using measurement alternative methods are investments in privately held companies and limited partnerships. Valuations of our investments in private companies and limited partnerships are inherently more complex due to the lack of readily available market data. The fair value is measured at the time of the observable transaction, which is not necessarily an indication of the current fair value as of the balance sheet date. These investments, especially those in the early stages, are inherently risky because the technologies or products these companies have under development are typically in the early phases and may never materialize and they may experience deterioration in financial condition, which could result in a loss of a substantial part of our investment in these companies. The success of our investment in any private company or limited partnership is also dependent on the likelihood of our ability to realize value in our investments through liquidity events such as public offerings, acquisitions, private sales or other favorable market events reflecting appreciation to the cost of our initial investment. Volatility in the global economic climate and financial markets could also result in a significant impairment charge on our non-marketable equity securities. As of December 31, 2025, the carrying value of our investments using measurement alternative method was US$291.7 million.</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our equity method investments generally do not fluctuate due to market price changes, however these investments could be impaired if the carrying value exceeds the fair value.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periodically review our investments for impairment. Factors we consider to make such determination include the duration and severity of the impairment, the reason for the decline in value, the potential recovery period, and our intent to sell, or whether it is more likely than not that we will be required to sell, the investment before recovery. We recorded US$6.0 million of investment related impairment charges for the year ended December 31, 2025. We are unable to control these factors and an impairment charge we recognized will unfavorably impact our operating results and financial position.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short-term investments as of December 31, 2025 totaled US$106.1 million, which were composed of bank time deposits whose original maturities are of greater than three months but less than one year and wealth management products which are certain deposits with variable interest rates or principal not-guaranteed with certain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12" w:lineRule="exact"/>
        <w:rPr>
          <w:sz w:val="20"/>
          <w:szCs w:val="20"/>
          <w:color w:val="auto"/>
        </w:rPr>
      </w:pPr>
    </w:p>
    <w:p>
      <w:pPr>
        <w:ind w:left="400" w:hanging="392"/>
        <w:spacing w:after="0"/>
        <w:tabs>
          <w:tab w:leader="none" w:pos="4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2020, we issued $750 million in aggregate principal amount of senior notes due 2030. Our 2030 Senior Notes bear an annual interest rate of 3.375%, payable semiannually in arrears on January 8 and July 8 of each year, beginning on January 8, 2021. Our 2030 Senior Notes will mature on July 8, 2030, unless previously repurchased or redeemed in accordance with their terms prior to maturity.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refer to Exhibits 2.4, 2.5, and 2.6 to this annual report for the information relating to our 2024 Senior Notes and our 2030 Senior Notes required by Item 12. A. of Form 20-F.</w:t>
      </w:r>
    </w:p>
    <w:p>
      <w:pPr>
        <w:spacing w:after="0" w:line="158" w:lineRule="exact"/>
        <w:rPr>
          <w:sz w:val="20"/>
          <w:szCs w:val="20"/>
          <w:color w:val="auto"/>
        </w:rPr>
      </w:pPr>
    </w:p>
    <w:p>
      <w:pPr>
        <w:ind w:left="400" w:hanging="392"/>
        <w:spacing w:after="0"/>
        <w:tabs>
          <w:tab w:leader="none" w:pos="4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00" w:hanging="392"/>
        <w:spacing w:after="0"/>
        <w:tabs>
          <w:tab w:leader="none" w:pos="4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we declared or issuances pursuant to a merger, exchange of securities or any other transaction or event affecting the ADSs or deposited securities, and each person surrendering ADSs for withdrawal of deposited securities or whose ADRs are canceled or reduced for any other reason, US$5.00 for each 100 ADSs (or any portion thereof) issued, delivered, reduced, canceled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or to whom ADSs are issued (including, without limitation, issuance pursuant to a stock dividend or stock split we declared or an exchange of stock regarding the ADSs or the deposited securities or a distribution of ADSs), whichever is applicable:</w:t>
      </w:r>
    </w:p>
    <w:p>
      <w:pPr>
        <w:spacing w:after="0" w:line="187" w:lineRule="exact"/>
        <w:rPr>
          <w:sz w:val="20"/>
          <w:szCs w:val="20"/>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for transfers of certificated or direct registration ADRs;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pursuant to the deposit agreement;</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90"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16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and other charges charged by JPMorgan Chase Bank, N.A. and/or its agent (which may be a division, branch or affiliate) in connection with the conversion of foreign currency into U.S. dollars;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JPMorgan Chase Bank, N.A. and/or its agent may act as principal for such conversion of foreign currency. 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fees and charges you may be required to pay may vary over time and may be changed by us and by the depositary. You will receive prior notice of any increase in any such fees and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2025, we received US$7.8 million payments made by the depository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Dealings and Settlement of Class A Ordinary Shares in Hong Kong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A ordinary shares will trade on the Hong Kong Stock Exchange in board lots of 20 ordinary shares. Dealings in our Class A ordinary shares on the Hong Kong Stock Exchange will be conducted in Hong Kong dollars.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costs of dealings in our Class A ordinary shares currently applicable on the Hong Kong Stock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000" w:hanging="31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SFC transaction levy of 0.0027% of the consideration of the transaction, charged to each of the buyer and seller;</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of Hong Kong transaction levy of 0.00015%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transaction stamp duty at a total rate of 0.2% of the value of the transaction, with 0.1% payable by each of the buyer and the seller;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0.05% of the market value of the shares,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his/her Class A ordinary shares in his/her stock account or in his/her designated CCASS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Trading in Hong Kong and ADSs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public offering of our Class A ordinary shares in Hong Kong, we have established a branch register of members in Hong Kong, which will be maintained by our Hong Kong Share Registrar, Computershare Hong Kong Investor Services Limited. Our principal register of members will continue to be maintained by our Principal Share Registrar, Global Incorporation Centre Limited, in the Cayman Islands.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Class A ordinary shares offered in our Hong Kong public offering and the international offering have been registered on our Hong Kong share register in order to be listed and traded on the Hong Kong Stock Exchange. As described in further detail below, holders of Class A ordinary shares registered on our Hong Kong share register are able to convert these shares into ADSs, and vice versa.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Hong Kong public offering, and to facilitate fungibility and conversion between ADSs and Class A ordinary shares and trading between Nasdaq and Hong Kong Stock Exchange, we have moved a portion of our issued Class A ordinary shares from our register of members maintained in the Cayman Islands to our Hong Kong share register.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listing of our Class A ordinary shares on the Hong Kong Stock Exchange, all deposits of Class A ordinary shares for the issuance of ADSs and all withdrawals of Class A ordinary shares upon the cancellation of ADSs will be in the form of Class A ordinary shares registered on our Hong Kong share register and all corporate actions with respect thereto will be processed via the depositary’s custodian account at CCASS, subject to the rules and procedures applicable to CCASS eligible securities, subject, in each case, to certain exceptions described below and provided that the foregoing shall not apply to certain of our restricted Class A ordinary shares and Class A ordinary shares as determined by our company and the depositary, which will be via our Principal Register in the Cayman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Class A Ordinary Shares trading in Hong Kong into 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Class A ordinary shares registered in Hong Kong and who intends to convert them to ADSs to trade on Nasdaq must deposit or have his or her broker deposit the Class A ordinary shares with the depositary’s Hong Kong custodian, JPMorgan Chase Bank, N.A., Hong Kong Branch, or the custodian, in exchange for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Class A ordinary shares trading in Hong Kong in exchange for ADSs involves the following procedures:</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 CCASS, the investor must transfer Class A ordinary shares to the depositary’s account with the custodian within CCASS by following the CCASS procedures for transfer and submit and deliver a duly completed and signed letter of transmittal to the custodian via his or her broker.</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to deposit his or her Class A ordinary shares into CCASS for delivery to the depositary’s account with the custodian within CCASS, submit and deliver a duly completed and signed letter of transmittal to the custodian via his or her broker.</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payment or net of the Depositary’s fees and expenses, and payment of any taxes or charges, such as stamp taxes or stock transfer taxes or fees, if applicable, and subject in all cases to the terms of the deposit agreement, the depositary will issue the corresponding number of ADSs in the name(s) requested by an investor and will deliver the ADSs to the designated DTC account of the person(s) designated by an investor or his or her broker if such ADSs are to be held in book-entry form through DTC’s “Direct Registration System.”</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Class A ordinary shares deposited in CCASS, under normal circumstances, the above steps generally require two business days.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ADSs to Class A ordinary shares trading in Hong Kong</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Class A ordinary shares to trade on the Hong Kong Stock Exchange must cancel the ADSs the investor holds and withdraw Class A ordinary shares from our ADS program and cause his or her broker or other financial institution to trade such Class A ordinary shares on the Hong Kong Stock Exchange.</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should follow the broker’s procedure and instruct the broker to arrange for cancelation of the ADSs, and transfer of the underlying Class A ordinary shares from the depositary’s account with the custodian within the CCASS system to the investor’s Hong Kong stock account.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144" w:lineRule="exact"/>
        <w:rPr>
          <w:sz w:val="20"/>
          <w:szCs w:val="20"/>
          <w:color w:val="auto"/>
        </w:rPr>
      </w:pPr>
    </w:p>
    <w:p>
      <w:pPr>
        <w:jc w:val="both"/>
        <w:ind w:left="1000" w:right="20" w:hanging="317"/>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108"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payment of CCASS’ fees and expenses, and payment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p>
      <w:pPr>
        <w:spacing w:after="0" w:line="11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A ordinary shares outside CCASS, he or she must receive ordinary shares in CCASS first and then arrange for withdrawal from CCASS. Investors can then obtain a transfer form signed by HKSCC Nominees Limited (as the transferor) and register Class A ordinary shares in their own names with the Hong Kong share registrar.</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generally require two business days. 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is subject to there being a sufficient number of Class A ordinary shares on the Hong Kong share register to facilitate a withdrawal from the ADS program directly into the CCASS system. We are not under any obligation to maintain or increase the number of Class A ordinary shares on the Hong Kong share register to facilitate such withdrawals.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Class A ordinary shares, the depositary may require:</w:t>
      </w:r>
    </w:p>
    <w:p>
      <w:pPr>
        <w:spacing w:after="0" w:line="144" w:lineRule="exact"/>
        <w:rPr>
          <w:sz w:val="20"/>
          <w:szCs w:val="20"/>
          <w:color w:val="auto"/>
        </w:rPr>
      </w:pPr>
    </w:p>
    <w:p>
      <w:pPr>
        <w:ind w:left="1000" w:right="20" w:hanging="317"/>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amounts required pursuant to the deposit agreement, including the issuance and cancellation fees therein, any stock transfer or other tax or other governmental charges and any stock transfer or registration fees in effect;</w:t>
      </w:r>
    </w:p>
    <w:p>
      <w:pPr>
        <w:spacing w:after="0" w:line="9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94"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presentation of transfer documents.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costs attributable to the transfer of Class A ordinary shares to effect a withdrawal from or deposit of Class A ordinary shares into our ADS program will be borne by the investor requesting the transfer. In particular, holders of Class A ordinary shares and ADSs should note that the Hong Kong share registrar will charge between HK$2.50 to 0.05% of the market value of the shares,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(or less) per 100 ADSs for each issuance of ADSs and each cancelation of ADSs, as the case may be, in connection with the deposit of Class A ordinary shares into, or withdrawal of Class A ordinary shares from, our ADS program.</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Association—Ordinary Shares” for a description of the rights of securities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the principal executive officer and principal financial officer, of the effectiveness of the design and operation of our disclosure controls and procedures (as defined in Exchange Act Rule 13a-15(e)) as of the end of the period covered by this annual report on Form 20-F. Based upon that evaluation, the principal executive officer and principal financial officer concluded that our company’s disclosure controls and procedures are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under the Securities Exchange Act of 1934, as amended). Our management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has audited the effectiveness of our internal control over financial reporting as of December 31, 2025 as stated in its report, which appears on page F-2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Securities Exchange Act of 1934, as amended) during the year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Pochin Christopher Lu, an independent director (under the standards set forth in Nasdaq Listing Rule 5605(a)(2) and Rule 10A-3 under the Exchange Act) and member of our audit committee, is an audit committee financial expert.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applies to our directors, officers and employees, including our principal executive officer and principal financial officer. We have posted the code on our corporate website http://ir.weibo.com.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billed by PricewaterhouseCoopers Zhong Tian LLP and its affiliates, our independent auditor and principal accountant for the years ended December 31, 2024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5220" w:type="dxa"/>
            <w:vAlign w:val="bottom"/>
          </w:tcPr>
          <w:p>
            <w:pPr>
              <w:ind w:left="50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4"/>
        </w:trPr>
        <w:tc>
          <w:tcPr>
            <w:tcW w:w="24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w w:val="96"/>
              </w:rPr>
              <w:t>(In US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r>
      <w:tr>
        <w:trPr>
          <w:trHeight w:val="229"/>
        </w:trPr>
        <w:tc>
          <w:tcPr>
            <w:tcW w:w="77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1,428,287</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1,427,696</w:t>
            </w:r>
          </w:p>
        </w:tc>
      </w:tr>
      <w:tr>
        <w:trPr>
          <w:trHeight w:val="229"/>
        </w:trPr>
        <w:tc>
          <w:tcPr>
            <w:tcW w:w="77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743,811</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551,613</w:t>
            </w:r>
          </w:p>
        </w:tc>
      </w:tr>
      <w:tr>
        <w:trPr>
          <w:trHeight w:val="223"/>
        </w:trPr>
        <w:tc>
          <w:tcPr>
            <w:tcW w:w="7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2,172,098</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1,979,309</w:t>
            </w:r>
          </w:p>
        </w:tc>
      </w:tr>
      <w:tr>
        <w:trPr>
          <w:trHeight w:val="20"/>
        </w:trPr>
        <w:tc>
          <w:tcPr>
            <w:tcW w:w="2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340" w:hanging="332"/>
        <w:spacing w:after="0" w:line="282" w:lineRule="auto"/>
        <w:tabs>
          <w:tab w:leader="none" w:pos="3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means the aggregate fees billed in each of the fiscal years listed for professional services rendered by our principal auditor for the audit of our annual financial statements and assistance with and review of documents filed with the SEC.</w:t>
      </w:r>
    </w:p>
    <w:p>
      <w:pPr>
        <w:spacing w:after="0" w:line="9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consists of the aggregate fees billed for the professional tax services rendered by our auditor.</w:t>
      </w:r>
    </w:p>
    <w:p>
      <w:pPr>
        <w:spacing w:after="0" w:line="2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policy of the Audit Committee is to pre-approve all audit and non-audit services provided by PricewaterhouseCoopers Zhong Tian LLP and its affiliates, including audit services, audit-related services, tax services and other services as described above. After receiving submissions from the management, the audit committee review and, in its sole discretion, pre-approve all audit and non-audit services. Pre-approval will be made by the audit committee or by one or more members of the audit committee as shall be designated by the audit committee or the chairperson of the audit committee. The person(s) granting such pre-approval shall report it to the audit committee at the next scheduled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December 2025, our board of directors authorized a share repurchase program under which we may repurchase up to US$200 million of our shares, including in the form of ADS, over the next 12 months, ending on December 31, 2026. The share repurchases may be effected from time to time on the open market at prevailing market prices, in privately negotiated transactions, in block trades and/or through other legally permissible means, depending on market conditions and will be implemented in accordance with applicable rules and regulations. We did not make any share repurchase in 2025.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SINA owns more than 50% of the total voting power of our ordinary shares, we are a “controlled company” under The Nasdaq Stock Market Rules, or The Nasdaq Rules. We rely on certain exemptions that are available to controlled companies from the Nasdaq corporate governance requirements, including the requirements:</w:t>
      </w:r>
    </w:p>
    <w:p>
      <w:pPr>
        <w:spacing w:after="0" w:line="176" w:lineRule="exact"/>
        <w:rPr>
          <w:sz w:val="20"/>
          <w:szCs w:val="20"/>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director nominees must be selected or recommended solely by independent directors;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corporate governance and nominating committee that is composed entirely of independent directors with a written charter addressing the committee’s purpose and responsibilities.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a foreign private issuer whose securities are listed on The Nasdaq Global Select Market, we are permitted to follow certain home country corporate governance practices in lieu of the requirements of The Nasdaq Rules pursuant to Nasdaq Rule 5615(a)(3), which provides for such exemption to compliance with The Nasdaq Rule 5600 Series. We rely on the exemption available to foreign private issuers for the requirements:</w:t>
      </w:r>
    </w:p>
    <w:p>
      <w:pPr>
        <w:spacing w:after="0" w:line="187" w:lineRule="exact"/>
        <w:rPr>
          <w:sz w:val="20"/>
          <w:szCs w:val="20"/>
          <w:color w:val="auto"/>
        </w:rPr>
      </w:pPr>
    </w:p>
    <w:p>
      <w:pPr>
        <w:ind w:left="1000" w:hanging="317"/>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be comprised of a majority of independent directors under Nasdaq Rule 5605(b)(1);</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 audit committee be comprised of at least three members under Nasdaq Rule 5605(c)(2)(A); and</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that shareholder approval be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under Nasdaq Rule 5635(c).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required to and will not voluntarily meet these requirements. As a result of our use of the “controlled company” and “foreign private issuer” exemptions, our investors will not have the same protection afforded to shareholders of companies that are subject to all of Nasdaq’s corporate governance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 sale, and other dispositions of our securities by our directors, officers, employees, consultants and other relevant persons to promote compliance with applicable insider trading laws, rules and regulations, and listing standards.</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Statement of Policies Governing Material Non-Public Information and The Prevention of Insider Trading adopted by our board of directors on November 8, 2023 is filed as Exhibit 11.2 to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 We have also integrated cybersecurity risk management into our overall enterprise risk management system.</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application, data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IT department regularly monitors the performance of our apps, platforms and infrastructure to enable us to respond quickly to potential problems, including potential cybersecurity threats.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continuous advancement of new technologies and the expansion of business scenarios, we have been steadily enhancing our cybersecurity protection capabilities and privacy protection standards. We have increased investment in the following areas to enhance cybersecurity and data security protection capabilities.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continuously strengthened our overall cybersecurity protection capabilities and further improved its in-depth defense system. We have developed key security capabilities including DDoS protection and application-layer security protection, effectively ensuring the stable and efficient operation of its business systems.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effectively address increasingly severe data security risks, we have continuously invested resources to enhance our data security governance framework. We have established and continuously refined data security management policies and processes to effectively implement security requirements. We have strengthened data security lifecycle management, conducted data processing activities in adherence to the data minimization principle, and focused on enhancing process controls over critical stages such as data usage and external data transfer to mitigate security risks including data leakage and abuse. Meanwhile, we have continued to upgrade our data security technical capabilities by adopting measures including encryption, data pseudonymization, and access controls to improve the security of data processing across our products and services. We have also conducted regular data security training and awareness programs for critical business functions and roles to strengthen employees’ security risk awareness and capabilities, and to protect user data and the company’s data assets.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terms of certification, Weibo has attained ISO 27001 certification for its information security management system, signifying that its security management complies with internationally recognized authoritative standards.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76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the cybersecurity risk management and be informed on risks from cybersecurity threats.</w:t>
      </w:r>
    </w:p>
    <w:p>
      <w:pPr>
        <w:spacing w:after="0" w:line="176"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chief executive officer, the chief financial officer, and the principal officer in charge of the cybersecurity matters are responsible for discussing material cybersecurity incidents or threats with specific constituencies before sign-off, ensuring thorough review of information and disclosures. This involves our disclosure committee (comprising of the principal accounting officer or the head of financial reporting, the head of the legal department, the principal investor relations officer, the principal officer in charge of cybersecurity matters, and appropriate business unit heads of our company, as adjusted from time to time by the then incumbent committee members), as a whole, and the executive directors of our company; and other members of senior management and external legal counsel, to the extent appropriate. The chief executive officer, the chief financial officer, and the principal officer in charge of the cybersecurity matters are also responsible for assessing, identifying and managing material risks from cybersecurity threats to our company and monitoring the prevention, detection, mitigation and remediation of material cybersecurity incident, maintaining oversight of the disclosure in Form 6-K for material cybersecurity incidents (if any) and meeting with the disclosure committee (i) in connection with each current report to furnish information concerning any material cybersecurity incident, report the status of any material cybersecurity incidents or material risks from cybersecurity threats to our company, if any, and the relevant disclosure issues and (ii) in connection with each annual report, present the disclosure concerning cybersecurity matters in Form 20-F, along with a report highlighting particular disclosure issues, if any, and hold a Q&amp;A session. Our board of directors is responsible for maintaining oversight of the disclosure related to cybersecurity matters in the periodic reports of our company.</w:t>
      </w:r>
    </w:p>
    <w:p>
      <w:pPr>
        <w:spacing w:after="0" w:line="1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Chief Operating Officer currently serves as the principal officer in charge of the cybersecurity matters of our company, who holds the certificate a Certified Information Systems Auditor and has over 20 years of experience in the fields of IT and cybersecurity.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the top decision-making body for cybersecurity, the Information Security Governance Committee is chaired by the Chief Operating Officer and exercises overall oversight of information security governance.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Security Department performs security management and supervisory functions. All relevant business departments collaborate to implement security measures, continuously improving the overall security posture.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Weibo Corporation, its subsidiaries, the VIEs and the VIEs’ direct and indirect subsidiaries are included at the end of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1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63"/>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8840" w:type="dxa"/>
            <w:vAlign w:val="bottom"/>
            <w:tcBorders>
              <w:top w:val="single" w:sz="8" w:color="auto"/>
              <w:bottom w:val="single" w:sz="8" w:color="0000EE"/>
            </w:tcBorders>
            <w:gridSpan w:val="10"/>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Fourth Amended and Restated Memorandum and Articles of Association of the Registrant.(Filed as Exhibit 1.1 to the</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Registrant’s annual report on Form 20-F (File No. 001-36397), filed on April 25, 2024, and incorporated herein by</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reference)</w:t>
              </w:r>
            </w:hyperlink>
          </w:p>
        </w:tc>
        <w:tc>
          <w:tcPr>
            <w:tcW w:w="4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The Registrant’s Specimen American Depositary Receipt (included in Exhibit 2.3 hereto, which was filed as Exhibit 4.3 to</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the registration statement on Form S-8 (File No. 333-199022), filed on September 30, 2014 and incorporated herein by</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4"/>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reference)</w:t>
              </w:r>
            </w:hyperlink>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Registrant’s Specimen Certificate for Class A Ordinary Shares (Filed as Exhibit 4.1 to the Registrant’s current report on</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Form 6-K (File No. 001-36397), filed on December 1, 2021,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Amended and Restated Deposit Agreement, dated as of August 10, 2020, among the Registrant, the depositary and holder</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of the American Depositary Receipts (Filed as Exhibit 2.3 to the Registrant’s annual report on Form 20-F (File No. 001-</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0"/>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36397)</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on April 22, 2021,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Indenture, dated as of July 5, 2019, between Weibo Corporation and Deutsche Bank Trust Company Americas, as trustee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(Filed as Exhibit 4.1 to the Registrant’s current report on Form 6-K (File No. 001-36397), filed on July 5, 2019,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incorporated herein by reference)</w:t>
              </w:r>
            </w:hyperlink>
          </w:p>
        </w:tc>
        <w:tc>
          <w:tcPr>
            <w:tcW w:w="12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First supplemental indenture, dated as of July 5, 2019, between Weibo Corporation and Deutsche Bank Trust Company</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Americas, as trustee (Filed as Exhibit 4.2 to the Registrant’s current report on Form 6-K (File No. 001-36397), filed 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July 5, 2019, and incorporated herein by reference)</w:t>
              </w:r>
            </w:hyperlink>
          </w:p>
        </w:tc>
        <w:tc>
          <w:tcPr>
            <w:tcW w:w="4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Second Supplemental Indenture, dated as of July 8, 2020, between Weibo Corporation and Deutsche Bank Trust Company</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Americas, as trustee (Filed as Exhibit 4.1 to the Registrant’s current report on Form 6-K (File No. 001-36397), filed 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July 8, 2020, and incorporated herein by reference)</w:t>
              </w:r>
            </w:hyperlink>
          </w:p>
        </w:tc>
        <w:tc>
          <w:tcPr>
            <w:tcW w:w="4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Indenture, dated as of December 4, 2023, by and between Weibo Corporation and Citicorp International Limited, as</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trustee.(Filed as Exhibit 2.7 to the Registrant’s annual report on Form 20-F (File No. 001-36397), filed on April 25, 2024,</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4"/>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and incorporated herein by reference)</w:t>
              </w:r>
            </w:hyperlink>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Description of the registrant’s securities registered pursuant to Section 12 of the Securities Exchange Act of 1934. (Filed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as Exhibit 2.8 to the Registrant’s annual report on Form 20-F (File No. 001-36397), filed on April 25, 2024,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incorporated herein by reference)</w:t>
              </w:r>
            </w:hyperlink>
          </w:p>
        </w:tc>
        <w:tc>
          <w:tcPr>
            <w:tcW w:w="12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2014 Share Incentive Plan (Filed as Exhibit 10.2 to the Registrant’s Registration Statement on Form F-1 (File No. 333-</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194589)</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on March 14, 2014, as amended,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5"/>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8840" w:type="dxa"/>
            <w:vAlign w:val="bottom"/>
            <w:gridSpan w:val="10"/>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2023 Share Incentive Plan (Filed as Exhibit 4.3 to the Registrant’s annual report on Form 20-F (File No. 001-36397), filed</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on April 27, 2023, and incorporated herein by reference)</w:t>
              </w:r>
            </w:hyperlink>
          </w:p>
        </w:tc>
        <w:tc>
          <w:tcPr>
            <w:tcW w:w="4740" w:type="dxa"/>
            <w:vAlign w:val="bottom"/>
            <w:tcBorders>
              <w:top w:val="single" w:sz="8" w:color="0000EE"/>
            </w:tcBorders>
            <w:gridSpan w:val="4"/>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72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63"/>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8720" w:type="dxa"/>
            <w:vAlign w:val="bottom"/>
            <w:tcBorders>
              <w:top w:val="single" w:sz="8" w:color="auto"/>
              <w:bottom w:val="single" w:sz="8" w:color="0000EE"/>
            </w:tcBorders>
            <w:gridSpan w:val="10"/>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Form of Indemnification Agreement with the Registrant’s directors (Filed as Exhibit 10.3 to the Registrant’s Registration</w:t>
              </w:r>
            </w:hyperlink>
          </w:p>
        </w:tc>
        <w:tc>
          <w:tcPr>
            <w:tcW w:w="120" w:type="dxa"/>
            <w:vAlign w:val="bottom"/>
            <w:tcBorders>
              <w:top w:val="single" w:sz="8" w:color="auto"/>
            </w:tcBorders>
            <w:gridSpan w:val="2"/>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Statement on Form F-1 (File No. 333-194589), filed on March 14, 2014, as amended, and incorporated herein by</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reference)</w:t>
              </w:r>
            </w:hyperlink>
          </w:p>
        </w:tc>
        <w:tc>
          <w:tcPr>
            <w:tcW w:w="9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Form of Employment Agreement between the Registrant and an executive officer of the Registrant (Filed as Exhibit 10.4</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to the Registrant’s Registration Statement on Form F-1 (File No. 333-194589), filed on March 14, 2014, as amended, and</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incorporated herein by reference)</w:t>
              </w:r>
            </w:hyperlink>
          </w:p>
        </w:tc>
        <w:tc>
          <w:tcPr>
            <w:tcW w:w="7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Master Transaction Agreement between Sina Corporation and Weibo Corporation (Filed as Exhibit 10.5 to the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Registrant’s Registration Statement on Form F-1 (File No. 333-194589), filed on March 14, 2014, as amended, and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229">
              <w:r>
                <w:rPr>
                  <w:rFonts w:ascii="Times New Roman" w:cs="Times New Roman" w:eastAsia="Times New Roman" w:hAnsi="Times New Roman"/>
                  <w:sz w:val="18"/>
                  <w:szCs w:val="18"/>
                  <w:color w:val="0000EE"/>
                  <w:w w:val="98"/>
                </w:rPr>
                <w:t>incorporated herein by reference)</w:t>
              </w:r>
            </w:hyperlink>
          </w:p>
        </w:tc>
        <w:tc>
          <w:tcPr>
            <w:tcW w:w="720" w:type="dxa"/>
            <w:vAlign w:val="bottom"/>
            <w:tcBorders>
              <w:top w:val="single" w:sz="8" w:color="0000EE"/>
            </w:tcBorders>
            <w:gridSpan w:val="2"/>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Non-Competition Agreement between Sina Corporation and Weibo Corporation (Filed as Exhibit 10.7 to the Registrant’s</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Registration Statement on Form F-1 (File No. 333-194589), filed on March 14 2014, as amended, and incorporated herein</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by reference)</w:t>
              </w:r>
            </w:hyperlink>
          </w:p>
        </w:tc>
        <w:tc>
          <w:tcPr>
            <w:tcW w:w="9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Sales and Marketing Services Agreement between Sina Corporation and Weibo Corporation (Filed as Exhibit 10.8 to the</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Registrant’s Registration Statement on Form F-1 (File No. 333-194589), filed on March 14, 2014, as amended, and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incorporated herein by reference)</w:t>
              </w:r>
            </w:hyperlink>
          </w:p>
        </w:tc>
        <w:tc>
          <w:tcPr>
            <w:tcW w:w="720" w:type="dxa"/>
            <w:vAlign w:val="bottom"/>
            <w:tcBorders>
              <w:top w:val="single" w:sz="8" w:color="0000EE"/>
            </w:tcBorders>
            <w:gridSpan w:val="2"/>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Intellectual Property License Agreement between Sina Corporation and Weibo Corporation (Filed as Exhibit 10.9 to the</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Registrant’s Registration Statement on Form F-1 (File No. 333-194589), filed on March 14, 2014, as amended, and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incorporated herein by reference)</w:t>
              </w:r>
            </w:hyperlink>
          </w:p>
        </w:tc>
        <w:tc>
          <w:tcPr>
            <w:tcW w:w="720" w:type="dxa"/>
            <w:vAlign w:val="bottom"/>
            <w:tcBorders>
              <w:top w:val="single" w:sz="8" w:color="0000EE"/>
            </w:tcBorders>
            <w:gridSpan w:val="2"/>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Amended and Restated Shareholders’ Agreement between Sina Corporation, Ali WB Investment Holding Limited and</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Weibo Corporation (Filed as Exhibit 10.11 to the Registrant’s Registration Statement on Form F-1 (File No. 333-194589,</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filed on March 14, 2014), as amended, and incorporated herein by reference)</w:t>
              </w:r>
            </w:hyperlink>
          </w:p>
        </w:tc>
        <w:tc>
          <w:tcPr>
            <w:tcW w:w="3300" w:type="dxa"/>
            <w:vAlign w:val="bottom"/>
            <w:gridSpan w:val="5"/>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Voting Agreement between Sina Corporation and Ali WB Investment Holding Limited dated April 24, 2014 (incorporated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herein by reference to Exhibit 4.12 to the Registrant’s annual report on Form 20-F (File No. 001-36397) filed with the</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Securities and Exchange Commission on April 28, 2015)</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Registration Rights Agreement between Sina Corporation, Ali WB Investment Holding Limited and Weibo Corporation</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(Filed as Exhibit 10.13 to the Registrant’s Registration Statement on Form F-1 (File No. 333-194589), filed on March 14,</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2014, as amended,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English Translation of the Loan Agreement between our wholly owned subsidiary and individual shareholders of</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Weimeng (Filed as Exhibit 4.14 to the Registrant’s annual report on Form 20-F (File No. 001-36397), filed on April 26,</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2018 and incorporated herein by reference)</w:t>
              </w:r>
            </w:hyperlink>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English Translation of the Loan Repayment Agreement between our wholly owned subsidiary and individual shareholders</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of Weimeng (Filed as Exhibit 4.15 to the Registrant’s annual report on Form 20-F (File No. 001-36397), filed on April 26,</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2018 and incorporated herein by reference)</w:t>
              </w:r>
            </w:hyperlink>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English Translation of the Share Transfer Agreement between our wholly owned subsidiary and individual shareholders of</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Weimeng (Filed as Exhibit 4.16 to the Registrant’s annual report on Form 20-F (File No. 001-36397), filed on April 26,</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2018 and incorporated herein by reference)</w:t>
              </w:r>
            </w:hyperlink>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English Translation of the Agreement on Authorization to Exercise Shareholder’s Voting Power between our wholly</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20" w:type="dxa"/>
            <w:vAlign w:val="bottom"/>
            <w:gridSpan w:val="8"/>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owned subsidiary and individual shareholders of Weimeng (Filed as Exhibit 4.17 to the Registrant’s annual report on Form</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20-F (File No. 001-36397) filed on April 26 2018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63"/>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24"/>
                <w:szCs w:val="24"/>
                <w:color w:val="auto"/>
              </w:rPr>
            </w:pPr>
          </w:p>
        </w:tc>
        <w:tc>
          <w:tcPr>
            <w:tcW w:w="884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English Translation of the Share Pledge Agreement between our wholly owned subsidiary and individual shareholders of</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Weimeng (Filed as Exhibit 4.18 to the Registrant’s annual report on Form 20-F (File No. 001-36397), filed on April 26,</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gridSpan w:val="6"/>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2018 and incorporated herein by reference)</w:t>
              </w:r>
            </w:hyperlink>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24"/>
                <w:szCs w:val="24"/>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English Translation of the Exclusive Technical Services Agreement between our wholly owned subsidiary and Weimeng</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(Filed as Exhibit 10.19 to the Registrant’s Registration Statement on Form F-1 (File No. 333-194589), filed on March 14,</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2014, as amended, and incorporated herein by reference)</w:t>
              </w:r>
            </w:hyperlink>
          </w:p>
        </w:tc>
        <w:tc>
          <w:tcPr>
            <w:tcW w:w="4740" w:type="dxa"/>
            <w:vAlign w:val="bottom"/>
            <w:gridSpan w:val="3"/>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English Translation of the Exclusive Sales Agency Agreement between our wholly owned subsidiary and Weimeng (Filed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as Exhibit 10.20 to the Registrant’s Registration Statement on Form F-1 (File No. 333-194589), filed on March 14, 2014,</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as amended, and incorporated herein by reference)</w:t>
              </w:r>
            </w:hyperlink>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English Translation of the Trademark License Agreement between our wholly owned subsidiary and Weimeng. (Filed as</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Exhibit 10.21 to the Registrant’s Registration Statement on Form F-1 (File No. 333-194589), filed on March 14, 2014, as</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gridSpan w:val="6"/>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amended, and incorporated herein by reference)</w:t>
              </w:r>
            </w:hyperlink>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English Translation of the Loan Agreement between our wholly owned subsidiary and individual shareholders of</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Weimeng Chuangke (Filed as Exhibit 4.22 to the Registrant’s annual report on Form 20-F (File No. 001-36397), filed on</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April 22, 2021, and incorporated herein by reference)</w:t>
              </w:r>
            </w:hyperlink>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English Translation of the Loan Agreement between our wholly owned subsidiary and individual shareholders of</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Weimeng Chuangke (Filed as Exhibit 4.23 to the Registrant’s annual report on Form 20-F (File No. 001-36397), filed on</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April 22, 2021, and incorporated herein by reference)</w:t>
              </w:r>
            </w:hyperlink>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English Translation of the Loan Repayment Agreement between our wholly owned subsidiary and individual shareholders</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of Weimeng Chuangke (Filed as Exhibit 4.24 to the Registrant’s annual report on Form 20-F (File No. 001-36397), filed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on April 22, 2021, and incorporated herein by reference)</w:t>
              </w:r>
            </w:hyperlink>
          </w:p>
        </w:tc>
        <w:tc>
          <w:tcPr>
            <w:tcW w:w="4740" w:type="dxa"/>
            <w:vAlign w:val="bottom"/>
            <w:tcBorders>
              <w:top w:val="single" w:sz="8" w:color="0000EE"/>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English Translation of the Equity Transfer Agreement between our wholly owned subsidiary and individual shareholders</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of Weimeng Chuangke (Filed as Exhibit 4.25 to the Registrant’s annual report on Form 20-F (File No. 001-36397), filed</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on April 22, 2021, and incorporated herein by reference)</w:t>
              </w:r>
            </w:hyperlink>
          </w:p>
        </w:tc>
        <w:tc>
          <w:tcPr>
            <w:tcW w:w="4740" w:type="dxa"/>
            <w:vAlign w:val="bottom"/>
            <w:tcBorders>
              <w:top w:val="single" w:sz="8" w:color="0000EE"/>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24"/>
                <w:szCs w:val="24"/>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English Translation of the Agreement on Authorization to Exercise Shareholder’s Voting Power between our wholly</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owned subsidiary and individual shareholders of Weimeng Chuangke (Filed as Exhibit 4.26 to the Registrant’s annual</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report on Form 20-F (File No. 001-36397), filed on April 22, 2021, and incorporated herein by reference)</w:t>
              </w:r>
            </w:hyperlink>
          </w:p>
        </w:tc>
        <w:tc>
          <w:tcPr>
            <w:tcW w:w="12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English Translation of the Equity Pledge Agreement between our wholly owned subsidiary and individual shareholders of</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Weimeng Chuangke (Filed as Exhibit 4.27 to the Registrant’s annual report on Form 20-F (File No. 001-36397), filed on</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April 22, 2021, and incorporated herein by reference)</w:t>
              </w:r>
            </w:hyperlink>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24"/>
                <w:szCs w:val="24"/>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English Translation of the Exclusive Technical Services Agreement between our wholly owned subsidiary and Weimeng</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Chuangke (Filed as Exhibit 4.28 to the Registrant’s annual report on Form 20-F (File No. 001-36397), filed on April 22,</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2021, and incorporated herein by reference)</w:t>
              </w:r>
            </w:hyperlink>
          </w:p>
        </w:tc>
        <w:tc>
          <w:tcPr>
            <w:tcW w:w="6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English Translation of the Exclusive Sales Agency Agreement between our wholly owned subsidiary and Weimeng</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Chuangke (Filed as Exhibit 4.29 to the Registrant’s annual report on Form 20-F (File No. 001-36397), filed on April 22</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2021, and incorporated herein by reference)</w:t>
              </w:r>
            </w:hyperlink>
          </w:p>
        </w:tc>
        <w:tc>
          <w:tcPr>
            <w:tcW w:w="6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24"/>
                <w:szCs w:val="24"/>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English Translation of the Trademark License Agreement between our wholly owned subsidiary and Weimeng Chuangke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42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1"/>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(Filed as Exhibit 4.30 to the Registrant’s annual report on Form 20-F (File No. 001-36397), filed on April 22, 2021, and</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253">
              <w:r>
                <w:rPr>
                  <w:rFonts w:ascii="Times New Roman" w:cs="Times New Roman" w:eastAsia="Times New Roman" w:hAnsi="Times New Roman"/>
                  <w:sz w:val="18"/>
                  <w:szCs w:val="18"/>
                  <w:color w:val="0000EE"/>
                  <w:w w:val="98"/>
                </w:rPr>
                <w:t>incorporated herein by reference)</w:t>
              </w:r>
            </w:hyperlink>
          </w:p>
        </w:tc>
        <w:tc>
          <w:tcPr>
            <w:tcW w:w="1440" w:type="dxa"/>
            <w:vAlign w:val="bottom"/>
            <w:tcBorders>
              <w:top w:val="single" w:sz="8" w:color="0000EE"/>
            </w:tcBorders>
            <w:gridSpan w:val="5"/>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5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980" w:type="dxa"/>
            <w:vAlign w:val="bottom"/>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63"/>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24"/>
                <w:szCs w:val="24"/>
                <w:color w:val="auto"/>
              </w:rPr>
            </w:pPr>
          </w:p>
        </w:tc>
        <w:tc>
          <w:tcPr>
            <w:tcW w:w="884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English Translation of Spousal Consent Letter signed by each spouse of the shareholders of Weimeng Chuangke (Filed as</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Exhibit 4.31 to the Registrant’s annual report on Form 20-F (File No. 001-36397), filed on April 22, 2021, and</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255">
              <w:r>
                <w:rPr>
                  <w:rFonts w:ascii="Times New Roman" w:cs="Times New Roman" w:eastAsia="Times New Roman" w:hAnsi="Times New Roman"/>
                  <w:sz w:val="18"/>
                  <w:szCs w:val="18"/>
                  <w:color w:val="0000EE"/>
                  <w:w w:val="98"/>
                </w:rPr>
                <w:t>incorporated herein by reference)</w:t>
              </w:r>
            </w:hyperlink>
          </w:p>
        </w:tc>
        <w:tc>
          <w:tcPr>
            <w:tcW w:w="14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24"/>
                <w:szCs w:val="24"/>
                <w:color w:val="auto"/>
              </w:rPr>
            </w:pPr>
          </w:p>
        </w:tc>
        <w:tc>
          <w:tcPr>
            <w:tcW w:w="8840" w:type="dxa"/>
            <w:vAlign w:val="bottom"/>
            <w:gridSpan w:val="14"/>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 xml:space="preserve">Facilities Agreement relating to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 xml:space="preserve">900,000,000 term loan facility and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300,000,000 revolving loan facility, dated as</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of August 22, 2022, between the Registrant and the other parties thereto (Filed as Exhibit 4.33 to the Registrant’s annual</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report on Form 20-F (File No. 001-36397), filed on April 27, 2023, and incorporated herein by reference)</w:t>
              </w:r>
            </w:hyperlink>
          </w:p>
        </w:tc>
        <w:tc>
          <w:tcPr>
            <w:tcW w:w="1240" w:type="dxa"/>
            <w:vAlign w:val="bottom"/>
            <w:gridSpan w:val="4"/>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24"/>
                <w:szCs w:val="24"/>
                <w:color w:val="auto"/>
              </w:rPr>
            </w:pPr>
          </w:p>
        </w:tc>
        <w:tc>
          <w:tcPr>
            <w:tcW w:w="8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ADS Lending Agreement, dated as of November 30, 2023, between the Registrant and Goldman Sachs International, as</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amended. (Filed as Exhibit 4.33 to the Registrant’s annual report on Form 20-F (File No. 001-36397), filed on April 25,</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2024, and incorporated herein by reference)</w:t>
              </w:r>
            </w:hyperlink>
          </w:p>
        </w:tc>
        <w:tc>
          <w:tcPr>
            <w:tcW w:w="7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List of Significant Subsidiaries and Principal Variable Interest Entities (Filed as Exhibit 8.1 to the Registrant’s annual</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report on Form 20-F (File No. 001-36397), filed on April 15, 2025, and incorporated herein by reference)</w:t>
              </w:r>
            </w:hyperlink>
          </w:p>
        </w:tc>
        <w:tc>
          <w:tcPr>
            <w:tcW w:w="1240" w:type="dxa"/>
            <w:vAlign w:val="bottom"/>
            <w:gridSpan w:val="4"/>
          </w:tcPr>
          <w:p>
            <w:pPr>
              <w:spacing w:after="0"/>
              <w:rPr>
                <w:sz w:val="18"/>
                <w:szCs w:val="18"/>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4"/>
                <w:szCs w:val="24"/>
                <w:color w:val="auto"/>
              </w:rPr>
            </w:pPr>
          </w:p>
        </w:tc>
        <w:tc>
          <w:tcPr>
            <w:tcW w:w="8840" w:type="dxa"/>
            <w:vAlign w:val="bottom"/>
            <w:gridSpan w:val="14"/>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Code of Business Conduct and Ethics (incorporated by reference to Exhibit 99.1 to the Registrant’s Registration Statement</w:t>
              </w:r>
            </w:hyperlink>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on Form F-1 (File No. 333-194589), filed on March 14, 2014, as amended and incorporated herein by reference)</w:t>
              </w:r>
            </w:hyperlink>
          </w:p>
        </w:tc>
        <w:tc>
          <w:tcPr>
            <w:tcW w:w="720" w:type="dxa"/>
            <w:vAlign w:val="bottom"/>
            <w:tcBorders>
              <w:top w:val="single" w:sz="8" w:color="0000EE"/>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24"/>
                <w:szCs w:val="24"/>
                <w:color w:val="auto"/>
              </w:rPr>
            </w:pPr>
          </w:p>
        </w:tc>
        <w:tc>
          <w:tcPr>
            <w:tcW w:w="8840" w:type="dxa"/>
            <w:vAlign w:val="bottom"/>
            <w:gridSpan w:val="14"/>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Amended and Restated Statement of Policies Governing Material Non-Public Information and the Prevention of Insider</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Trading of the Registrant (Filed as Exhibit 11.2 to the Registrant’s annual report on Form 20-F (File No. 001-36397), filed</w:t>
              </w:r>
            </w:hyperlink>
          </w:p>
        </w:tc>
        <w:tc>
          <w:tcPr>
            <w:tcW w:w="2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on April 15, 2025, and incorporated herein by reference)</w:t>
              </w:r>
            </w:hyperlink>
          </w:p>
        </w:tc>
        <w:tc>
          <w:tcPr>
            <w:tcW w:w="4760" w:type="dxa"/>
            <w:vAlign w:val="bottom"/>
            <w:gridSpan w:val="8"/>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Certificate of principal executive officer pursuant to Section 302 of the Sarbanes-Oxley Act of 2002</w:t>
            </w:r>
          </w:p>
        </w:tc>
        <w:tc>
          <w:tcPr>
            <w:tcW w:w="1640" w:type="dxa"/>
            <w:vAlign w:val="bottom"/>
            <w:gridSpan w:val="5"/>
          </w:tcPr>
          <w:p>
            <w:pPr>
              <w:spacing w:after="0"/>
              <w:rPr>
                <w:sz w:val="24"/>
                <w:szCs w:val="24"/>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Certificate of principal financial officer pursuant to Section 302 of the Sarbanes-Oxley Act of 2002</w:t>
            </w:r>
          </w:p>
        </w:tc>
        <w:tc>
          <w:tcPr>
            <w:tcW w:w="1700" w:type="dxa"/>
            <w:vAlign w:val="bottom"/>
            <w:gridSpan w:val="6"/>
          </w:tcPr>
          <w:p>
            <w:pPr>
              <w:spacing w:after="0"/>
              <w:rPr>
                <w:sz w:val="24"/>
                <w:szCs w:val="24"/>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Certificate of principal executive officer pursuant to Section 906 of the Sarbanes-Oxley Act of 2002</w:t>
            </w:r>
          </w:p>
        </w:tc>
        <w:tc>
          <w:tcPr>
            <w:tcW w:w="1640" w:type="dxa"/>
            <w:vAlign w:val="bottom"/>
            <w:gridSpan w:val="5"/>
          </w:tcPr>
          <w:p>
            <w:pPr>
              <w:spacing w:after="0"/>
              <w:rPr>
                <w:sz w:val="24"/>
                <w:szCs w:val="24"/>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24"/>
                <w:szCs w:val="24"/>
                <w:color w:val="auto"/>
              </w:rPr>
            </w:pPr>
          </w:p>
        </w:tc>
        <w:tc>
          <w:tcPr>
            <w:tcW w:w="88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Certificate of principal financial officer pursuant to Section 906 of the Sarbanes-Oxley Act of 2002</w:t>
            </w: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Maples and Calder (Hong Kong) LLP</w:t>
            </w: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4"/>
                <w:szCs w:val="24"/>
                <w:color w:val="auto"/>
              </w:rPr>
            </w:pPr>
          </w:p>
        </w:tc>
        <w:tc>
          <w:tcPr>
            <w:tcW w:w="2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Kewei Law Firm</w:t>
            </w:r>
          </w:p>
        </w:tc>
        <w:tc>
          <w:tcPr>
            <w:tcW w:w="18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Zhong Tian LLP</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Clawback Policy of the Registrant.(Filed as Exhibit 97.1 to the Registrant’s annual report on Form 20-F (File No. 001-</w:t>
              </w:r>
            </w:hyperlink>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14"/>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36397)</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on April 25, 2024,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40" w:type="dxa"/>
            <w:vAlign w:val="bottom"/>
            <w:gridSpan w:val="7"/>
            <w:shd w:val="clear" w:color="auto" w:fill="0000EE"/>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8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w:t>
            </w:r>
          </w:p>
        </w:tc>
      </w:t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8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8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15684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91"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Weibo</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0" w:lineRule="exact"/>
        <w:rPr>
          <w:sz w:val="20"/>
          <w:szCs w:val="20"/>
          <w:color w:val="auto"/>
        </w:rPr>
      </w:pPr>
    </w:p>
    <w:p>
      <w:pPr>
        <w:spacing w:after="0" w:line="277" w:lineRule="exact"/>
        <w:rPr>
          <w:sz w:val="20"/>
          <w:szCs w:val="20"/>
          <w:color w:val="auto"/>
        </w:rPr>
      </w:pPr>
    </w:p>
    <w:p>
      <w:pPr>
        <w:ind w:left="492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Gaofei Wang</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-121920</wp:posOffset>
            </wp:positionV>
            <wp:extent cx="162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6" w:lineRule="exact"/>
        <w:rPr>
          <w:sz w:val="20"/>
          <w:szCs w:val="20"/>
          <w:color w:val="auto"/>
        </w:rPr>
      </w:pPr>
    </w:p>
    <w:p>
      <w:pPr>
        <w:ind w:left="4920"/>
        <w:spacing w:after="0"/>
        <w:tabs>
          <w:tab w:leader="none" w:pos="5500" w:val="left"/>
        </w:tabs>
        <w:rPr>
          <w:sz w:val="20"/>
          <w:szCs w:val="20"/>
          <w:color w:val="auto"/>
        </w:rPr>
      </w:pPr>
      <w:r>
        <w:rPr>
          <w:rFonts w:ascii="Times New Roman" w:cs="Times New Roman" w:eastAsia="Times New Roman" w:hAnsi="Times New Roman"/>
          <w:sz w:val="18"/>
          <w:szCs w:val="18"/>
          <w:color w:val="auto"/>
        </w:rPr>
        <w:t>Title:</w:t>
        <w:tab/>
        <w:t>Director and Chief Executive</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3"/>
        </w:trPr>
        <w:tc>
          <w:tcPr>
            <w:tcW w:w="92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F-2</w:t>
            </w:r>
          </w:p>
        </w:tc>
      </w:tr>
      <w:tr>
        <w:trPr>
          <w:trHeight w:val="426"/>
        </w:trPr>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5"/>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F-5</w:t>
            </w:r>
          </w:p>
        </w:tc>
      </w:tr>
      <w:tr>
        <w:trPr>
          <w:trHeight w:val="425"/>
        </w:trPr>
        <w:tc>
          <w:tcPr>
            <w:tcW w:w="92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F-6</w:t>
            </w:r>
          </w:p>
        </w:tc>
      </w:tr>
      <w:tr>
        <w:trPr>
          <w:trHeight w:val="426"/>
        </w:trPr>
        <w:tc>
          <w:tcPr>
            <w:tcW w:w="3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w:t>
            </w:r>
          </w:p>
        </w:tc>
        <w:tc>
          <w:tcPr>
            <w:tcW w:w="180" w:type="dxa"/>
            <w:vAlign w:val="bottom"/>
            <w:tcBorders>
              <w:top w:val="single" w:sz="8" w:color="0000EE"/>
            </w:tcBorders>
          </w:tcPr>
          <w:p>
            <w:pPr>
              <w:spacing w:after="0"/>
              <w:rPr>
                <w:sz w:val="24"/>
                <w:szCs w:val="24"/>
                <w:color w:val="auto"/>
              </w:rPr>
            </w:pPr>
          </w:p>
        </w:tc>
        <w:tc>
          <w:tcPr>
            <w:tcW w:w="5480" w:type="dxa"/>
            <w:vAlign w:val="bottom"/>
            <w:gridSpan w:val="2"/>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F-7</w:t>
            </w:r>
          </w:p>
        </w:tc>
      </w:tr>
      <w:tr>
        <w:trPr>
          <w:trHeight w:val="425"/>
        </w:trPr>
        <w:tc>
          <w:tcPr>
            <w:tcW w:w="2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340" w:type="dxa"/>
            <w:vAlign w:val="bottom"/>
            <w:gridSpan w:val="5"/>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F-8</w:t>
            </w:r>
          </w:p>
        </w:tc>
      </w:tr>
      <w:tr>
        <w:trPr>
          <w:trHeight w:val="426"/>
        </w:trPr>
        <w:tc>
          <w:tcPr>
            <w:tcW w:w="92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F-9</w:t>
            </w:r>
          </w:p>
        </w:tc>
      </w:tr>
      <w:tr>
        <w:trPr>
          <w:trHeight w:val="912"/>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700" w:type="dxa"/>
            <w:vAlign w:val="bottom"/>
          </w:tcPr>
          <w:p>
            <w:pPr>
              <w:spacing w:after="0"/>
              <w:rPr>
                <w:sz w:val="24"/>
                <w:szCs w:val="24"/>
                <w:color w:val="auto"/>
              </w:rPr>
            </w:pPr>
          </w:p>
        </w:tc>
      </w:tr>
      <w:tr>
        <w:trPr>
          <w:trHeight w:val="560"/>
        </w:trPr>
        <w:tc>
          <w:tcPr>
            <w:tcW w:w="2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Weibo 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Weibo Corporation and its subsidiaries (the “Company”) as of December 31, 2025 and 2024, and the related consolidated statements of comprehensive income, shareholders’ equity and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loans to and interest receivable from a related party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2 and 10 to the consolidated financial statements, the Company has loans to and interest receivable from a related party, net of allowance for credit losses, of US$408.3 million as of December 31, 2025. Management estimated the allowance for credit losses on loans to and interest receivable from related parties not sharing similar risk characteristics on an individual basis. The significant assumptions used by management when determining the above allowance for credit losses related to the fair values of the assets of the borrowers.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allowance for credit losses on loans to and interest receivable from a related party is a critical audit matter are (i) the significant judgment by management when developing the allowance for credit losses on loans to and interest receivable from a related party; (ii) a high degree of auditor judgment, subjectivity, and effort in performing procedures and evaluating management’s significant assumptions related to the fair values of the assets of the borrowers; and (iii) the audit effort involved the use of professionals with specialized skill and knowledge.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allowance for credit losses on loans to and interest receivable from a related party. These procedures also included, among others, (i) testing management’s process for determining the allowance for credit losses; (ii) evaluating the appropriateness of the valuation models used in the estimate;</w:t>
      </w:r>
    </w:p>
    <w:p>
      <w:pPr>
        <w:spacing w:after="0" w:line="3" w:lineRule="exact"/>
        <w:rPr>
          <w:sz w:val="20"/>
          <w:szCs w:val="20"/>
          <w:color w:val="auto"/>
        </w:rPr>
      </w:pPr>
    </w:p>
    <w:p>
      <w:pPr>
        <w:jc w:val="both"/>
        <w:ind w:firstLine="8"/>
        <w:spacing w:after="0" w:line="248" w:lineRule="auto"/>
        <w:tabs>
          <w:tab w:leader="none" w:pos="32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accuracy and relevance of underlying data used in the models, including the borrowers’ current financial condition; and (iv) evaluating the reasonableness of the fair values of the assets of the borrowers. Professionals with specialized skill and knowledge were also used to assist in evaluating the reasonableness of valuation models and the reasonableness of the fair values of the assets of the borrowers.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Company’s goodwill balance was US$169.3 million as of December 31, 2025, and the goodwill associated with the advertising and marketing services and value-added services reporting units was US$76.1 million and US$93.2 million, respectively. Management conducted an impairment test at the end of each year, or more frequently if events or circumstances indicate that the carrying value of goodwill may be impaired. Potential impairment is identified by comparing the fair value of a reporting unit to its carrying value, including goodwill. Management performed quantitative impairment tests as of December 31, 2025. Fair values of the reporting units are estimated by management using the income approach. Management’s income approach for the advertising and marketing services and value-added services reporting units included significant judgments and assumptions related to the revenue growth rates and the discount rates.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assessments of the advertising and marketing services and value-added services reporting units is a critical audit matter are (i) the significant judgment by management when developing the fair value estimate of the advertising and marketing services and value-added services reporting units;</w:t>
      </w:r>
    </w:p>
    <w:p>
      <w:pPr>
        <w:spacing w:after="0" w:line="3" w:lineRule="exact"/>
        <w:rPr>
          <w:sz w:val="20"/>
          <w:szCs w:val="20"/>
          <w:color w:val="auto"/>
        </w:rPr>
      </w:pPr>
    </w:p>
    <w:p>
      <w:pPr>
        <w:jc w:val="both"/>
        <w:ind w:firstLine="8"/>
        <w:spacing w:after="0" w:line="254" w:lineRule="auto"/>
        <w:tabs>
          <w:tab w:leader="none" w:pos="30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degree of auditor judgment, subjectivity, and effort in performing procedures and evaluating management’s significant assumptions related to the revenue growth rates and the discount rates;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advertising and marketing services and value-added services reporting units. These procedures also included, among others (i) testing management’s process for developing the fair value estimate of the advertising and marketing services and value-added services reporting units; (ii) evaluating the appropriateness of the income approach used by management; (iii) testing the completeness, accuracy and relevance of underlying data used in the income approach; and (iv) evaluating the reasonableness of the significant assumptions used by management related to the revenue growth rates and the discount rates. Evaluating management’s assumptions related to the revenue growth rates and the discount rates involved evaluating whether the assumptions used by management were reasonable considering (i) the current and past performance of the advertising and marketing services and value-added services reporting units; (ii) the consistency with external market and industry data; and (iii) whether the assumptions were consistent with evidence obtained in other areas of the audit. Professionals with specialized skill and knowledge were used to assist in evaluating the reasonableness of the valuation model and the discount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number of shares and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6760"/>
              <w:spacing w:after="0" w:line="14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200"/>
              <w:spacing w:after="0" w:line="146" w:lineRule="exact"/>
              <w:rPr>
                <w:sz w:val="20"/>
                <w:szCs w:val="20"/>
                <w:color w:val="auto"/>
              </w:rPr>
            </w:pPr>
            <w:r>
              <w:rPr>
                <w:rFonts w:ascii="Times New Roman" w:cs="Times New Roman" w:eastAsia="Times New Roman" w:hAnsi="Times New Roman"/>
                <w:sz w:val="13"/>
                <w:szCs w:val="13"/>
                <w:b w:val="1"/>
                <w:bCs w:val="1"/>
                <w:i w:val="1"/>
                <w:iCs w:val="1"/>
                <w:color w:val="auto"/>
              </w:rPr>
              <w:t>Notes</w:t>
            </w:r>
          </w:p>
        </w:tc>
        <w:tc>
          <w:tcPr>
            <w:tcW w:w="2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380" w:type="dxa"/>
            <w:vAlign w:val="bottom"/>
            <w:gridSpan w:val="3"/>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ASSETS</w:t>
            </w: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3</w:t>
            </w: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1,890,632</w:t>
            </w:r>
          </w:p>
        </w:tc>
        <w:tc>
          <w:tcPr>
            <w:tcW w:w="4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2,298,941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Short-term investments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459,852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Accounts receivable due from third parties, net of allowances of US$20,700 and US$15,780 as of December 31, 2024 and 2025,</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respectively</w:t>
            </w:r>
          </w:p>
        </w:tc>
        <w:tc>
          <w:tcPr>
            <w:tcW w:w="6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256,670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due from Alibaba, net of allowances of nil and nil as of December 31, 2024 and 2025, respectively</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4"/>
              </w:rPr>
              <w:t>8&amp;10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43,495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Accounts receivable due from other related parties, net of allowances of nil and nil as of December 31, 2024 and 2025,</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4"/>
              </w:rPr>
              <w:t>8&amp;10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respectively</w:t>
            </w:r>
          </w:p>
        </w:tc>
        <w:tc>
          <w:tcPr>
            <w:tcW w:w="6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39,589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Prepaid expenses and other current assets (including loans to and interest receivable from other related parties of US$88,500 and</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w w:val="94"/>
              </w:rPr>
              <w:t>8&amp;10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US$105,658 as of December 31, 2024 and 2025, respectively)</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348,774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330,356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Amount due from SINA</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1"/>
              </w:rPr>
              <w:t>10</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452,769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441,143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color w:val="auto"/>
              </w:rPr>
              <w:t>Total current assets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3,491,781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3,576,788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215,034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282,442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154,717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109,781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1,389,199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1,663,346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non-current assets (including loans to and interest receivable from other related parties of US$358,485 and US$438,470 as of</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w w:val="94"/>
              </w:rPr>
              <w:t>8&amp;10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December 31, 2024 and 2025, respectively)</w:t>
            </w:r>
          </w:p>
        </w:tc>
        <w:tc>
          <w:tcPr>
            <w:tcW w:w="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981,764</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1,149,274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6,504,499</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7,091,186</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REDEEMABLE NON-CONTROLLING INTERESTS AND SHAREHOLDERS’ EQUITY</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92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 (including amounts of the consolidated VIEs without recourse to the primary beneficiary of US$572,936 and</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US$614,913 as of December 31, 2024 and 2025, respectively) :</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680" w:type="dxa"/>
            <w:vAlign w:val="bottom"/>
          </w:tcPr>
          <w:p>
            <w:pPr>
              <w:spacing w:after="0"/>
              <w:rPr>
                <w:sz w:val="14"/>
                <w:szCs w:val="14"/>
                <w:color w:val="auto"/>
              </w:rPr>
            </w:pP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158,435</w:t>
            </w:r>
          </w:p>
        </w:tc>
        <w:tc>
          <w:tcPr>
            <w:tcW w:w="40" w:type="dxa"/>
            <w:vAlign w:val="bottom"/>
          </w:tcPr>
          <w:p>
            <w:pPr>
              <w:spacing w:after="0"/>
              <w:rPr>
                <w:sz w:val="14"/>
                <w:szCs w:val="14"/>
                <w:color w:val="auto"/>
              </w:rPr>
            </w:pPr>
          </w:p>
        </w:tc>
        <w:tc>
          <w:tcPr>
            <w:tcW w:w="38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640,207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liabilities, short-term</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taxes payable</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84,690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Deferred revenues</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72,642</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3"/>
                <w:szCs w:val="13"/>
                <w:color w:val="auto"/>
              </w:rPr>
              <w:t>Total current liabilities</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968,136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1,055,833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9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Long-term liabilities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senior notes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1"/>
              </w:rPr>
              <w:t>15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320,803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323,944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Unsecured senior notes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1"/>
              </w:rPr>
              <w:t>15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744,662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loans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1"/>
              </w:rPr>
              <w:t>15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795,311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793,976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61,052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 liabilities, long-term</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16,591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3"/>
                <w:szCs w:val="13"/>
                <w:color w:val="auto"/>
              </w:rPr>
              <w:t>Total long-term liabilities</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1,957,477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2,027,790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Borders>
              <w:bottom w:val="single" w:sz="8" w:color="CCEEFF"/>
            </w:tcBorders>
          </w:tcPr>
          <w:p>
            <w:pPr>
              <w:ind w:left="200"/>
              <w:spacing w:after="0" w:line="146"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2,925,613</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3,083,623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1"/>
              </w:rPr>
              <w:t>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Redeemable non-controlling interests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1"/>
              </w:rPr>
              <w:t>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45,103</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32,828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3"/>
                <w:szCs w:val="13"/>
                <w:color w:val="auto"/>
              </w:rPr>
              <w:t>Ordinary shares: US$0.00025 par value; 2,400,000 and 2,400,000 shares (including 1,800,000 Class A ordinary shares, 200,000</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Class B ordinary shares and 400,000 shares to be designated) authorized as of December 31, 2024 and 2025, respectively;</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244,272 shares (including 156,450 Class A ordinary shares and 87,822 Class B ordinary shares) issued and outstanding as of</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December 31, 2024; and 245,550 shares (including 157,728 Class A ordinary shares and 87,822 Class B ordinary shares)</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issued and outstanding as of December 31, 2025.</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1,504,560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1,551,702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(315,801)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Retained earnings</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2,293,951</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2,547,326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shd w:val="clear" w:color="auto" w:fill="CCEEFF"/>
          </w:tcPr>
          <w:p>
            <w:pPr>
              <w:ind w:left="320"/>
              <w:spacing w:after="0" w:line="144" w:lineRule="exact"/>
              <w:rPr>
                <w:sz w:val="20"/>
                <w:szCs w:val="20"/>
                <w:color w:val="auto"/>
              </w:rPr>
            </w:pPr>
            <w:r>
              <w:rPr>
                <w:rFonts w:ascii="Times New Roman" w:cs="Times New Roman" w:eastAsia="Times New Roman" w:hAnsi="Times New Roman"/>
                <w:sz w:val="13"/>
                <w:szCs w:val="13"/>
                <w:color w:val="auto"/>
              </w:rPr>
              <w:t>Total Weibo shareholders’ equity</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3,482,771</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3,920,729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51,012</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54,006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3,533,783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3,974,735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liabilities, redeemable non-controlling interests and shareholders’ equity</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6,504,499</w:t>
            </w: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7,091,186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and in thousand for shares,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tcPr>
          <w:p>
            <w:pPr>
              <w:ind w:left="6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Advertising and marketing revenues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Third parties</w:t>
            </w:r>
          </w:p>
        </w:tc>
        <w:tc>
          <w:tcPr>
            <w:tcW w:w="5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1,344,354</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1,315,055</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Alibaba</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SINA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Other related parties</w:t>
            </w: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32,733</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1,534,014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1,498,693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Value-added services revenues</w:t>
            </w: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225,822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255,984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1,759,836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1,754,677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1,757,216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revenues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374,279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development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308,747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117,574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101,294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1,286,902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1,260,353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1,292,391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equity method investments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Realized gain (loss) from investments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changes through earnings on investments, net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Investment-related impairment and provision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(23,642)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123,336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(120,070)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(loss), net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 expenses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502,782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income tax expenses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310,105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6"/>
                <w:szCs w:val="16"/>
                <w:color w:val="auto"/>
              </w:rPr>
              <w:t>Accretion to redeemable non-controlling interests</w:t>
            </w: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Weibo’s shareholders</w:t>
            </w: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342,598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300,801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357,495</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310,105</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Currency translation adjustments (for which there were no taxes)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(114,683)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(99,325)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600,856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 and redeemable</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14,395</w:t>
            </w:r>
          </w:p>
        </w:tc>
        <w:tc>
          <w:tcPr>
            <w:tcW w:w="0" w:type="dxa"/>
            <w:vAlign w:val="bottom"/>
          </w:tcPr>
          <w:p>
            <w:pPr>
              <w:spacing w:after="0"/>
              <w:rPr>
                <w:sz w:val="1"/>
                <w:szCs w:val="1"/>
                <w:color w:val="auto"/>
              </w:rPr>
            </w:pPr>
          </w:p>
        </w:tc>
      </w:tr>
      <w:tr>
        <w:trPr>
          <w:trHeight w:val="236"/>
        </w:trPr>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Comprehensive income attributable to Weibo’s shareholders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586,461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used in computing net income per share attributable to Weibo’s shareholders: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235,560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237,324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per share: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and in thousand for shares)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5"/>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12"/>
                <w:szCs w:val="12"/>
                <w:color w:val="auto"/>
              </w:rPr>
            </w:pPr>
          </w:p>
        </w:tc>
        <w:tc>
          <w:tcPr>
            <w:tcW w:w="1160" w:type="dxa"/>
            <w:vAlign w:val="bottom"/>
            <w:tcBorders>
              <w:bottom w:val="single" w:sz="8" w:color="auto"/>
            </w:tcBorders>
            <w:gridSpan w:val="5"/>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3"/>
              </w:rPr>
              <w:t>controlling</w:t>
            </w:r>
          </w:p>
        </w:tc>
        <w:tc>
          <w:tcPr>
            <w:tcW w:w="12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135"/>
        </w:trPr>
        <w:tc>
          <w:tcPr>
            <w:tcW w:w="3440" w:type="dxa"/>
            <w:vAlign w:val="bottom"/>
            <w:gridSpan w:val="2"/>
          </w:tcPr>
          <w:p>
            <w:pPr>
              <w:ind w:left="33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1"/>
                <w:szCs w:val="11"/>
                <w:b w:val="1"/>
                <w:bCs w:val="1"/>
                <w:i w:val="1"/>
                <w:iCs w:val="1"/>
                <w:color w:val="auto"/>
              </w:rPr>
              <w:t>Note</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Shares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0" w:type="dxa"/>
            <w:vAlign w:val="bottom"/>
          </w:tcPr>
          <w:p>
            <w:pPr>
              <w:spacing w:after="0"/>
              <w:rPr>
                <w:sz w:val="11"/>
                <w:szCs w:val="11"/>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  Capital</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Income (Loss)</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Earnings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2"/>
              </w:rPr>
              <w:t>Interests</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28"/>
        </w:trPr>
        <w:tc>
          <w:tcPr>
            <w:tcW w:w="340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237,242</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(57,682)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$ 1,445,519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(102,740)</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$ 2,045,094</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14,495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3,344,745</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Issuance of ordinary shares pursuant to stock plan</w:t>
            </w:r>
          </w:p>
        </w:tc>
        <w:tc>
          <w:tcPr>
            <w:tcW w:w="4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Retirement of repurchase of American depositary shares (“ADSs”)</w:t>
            </w:r>
          </w:p>
        </w:tc>
        <w:tc>
          <w:tcPr>
            <w:tcW w:w="4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57,682</w:t>
            </w:r>
          </w:p>
        </w:tc>
        <w:tc>
          <w:tcPr>
            <w:tcW w:w="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(57,681)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4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ADS lending arrangement in connection with issuance of convertible senior</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i w:val="1"/>
                <w:iCs w:val="1"/>
                <w:color w:val="auto"/>
              </w:rPr>
              <w:t>15</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notes</w:t>
            </w:r>
          </w:p>
        </w:tc>
        <w:tc>
          <w:tcPr>
            <w:tcW w:w="400" w:type="dxa"/>
            <w:vAlign w:val="bottom"/>
            <w:vMerge w:val="continue"/>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2,002</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Non-cash stock-based compensation</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107,883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107,883</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before accretion to redeemable non-controlling interests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342,598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344,693</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Changes due to investment in INMYSHOW</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(71,695)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(71,695)</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Contribution from non-controlling interest shareholders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3,869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3,869</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a subsidiary’s shares from non-controlling shareholders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(960)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(4,862)</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Acquisition of a subsidiary with non-controlling interests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37,071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37,071</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to shareholders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i w:val="1"/>
                <w:iCs w:val="1"/>
                <w:color w:val="auto"/>
              </w:rPr>
              <w:t>18</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(200,136)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(200,136)</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Currency translation adjustments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(115,077)</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(114,683)</w:t>
            </w:r>
          </w:p>
        </w:tc>
        <w:tc>
          <w:tcPr>
            <w:tcW w:w="0" w:type="dxa"/>
            <w:vAlign w:val="bottom"/>
          </w:tcPr>
          <w:p>
            <w:pPr>
              <w:spacing w:after="0"/>
              <w:rPr>
                <w:sz w:val="1"/>
                <w:szCs w:val="1"/>
                <w:color w:val="auto"/>
              </w:rPr>
            </w:pPr>
          </w:p>
        </w:tc>
      </w:tr>
      <w:tr>
        <w:trPr>
          <w:trHeight w:val="128"/>
        </w:trPr>
        <w:tc>
          <w:tcPr>
            <w:tcW w:w="34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242,611</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1,428,935</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(217,817)</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2,187,556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50,153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3,448,888</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Issuance of ordinary shares pursuant to stock plan</w:t>
            </w:r>
          </w:p>
        </w:tc>
        <w:tc>
          <w:tcPr>
            <w:tcW w:w="4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Non-cash stock-based compensation</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75,150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75,150</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before accretion to redeemable non-controlling interests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300,801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303,357</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Dissolution of a majority-owned subsidiary</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to shareholders, net of dividends received from ADS borrower</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15&amp;18</w:t>
            </w: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(194,406)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(194,406)</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Currency translation adjustments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(97,984)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(99,325)</w:t>
            </w:r>
          </w:p>
        </w:tc>
        <w:tc>
          <w:tcPr>
            <w:tcW w:w="0" w:type="dxa"/>
            <w:vAlign w:val="bottom"/>
          </w:tcPr>
          <w:p>
            <w:pPr>
              <w:spacing w:after="0"/>
              <w:rPr>
                <w:sz w:val="1"/>
                <w:szCs w:val="1"/>
                <w:color w:val="auto"/>
              </w:rPr>
            </w:pPr>
          </w:p>
        </w:tc>
      </w:tr>
      <w:tr>
        <w:trPr>
          <w:trHeight w:val="128"/>
        </w:trPr>
        <w:tc>
          <w:tcPr>
            <w:tcW w:w="34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244,272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1,504,560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(315,801)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2,293,951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51,012</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3,533,783</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ordinary shares pursuant to stock plan</w:t>
            </w:r>
          </w:p>
        </w:tc>
        <w:tc>
          <w:tcPr>
            <w:tcW w:w="4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Non-cash stock-based compensation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46,321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46,321</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before accretion to redeemable non-controlling interests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449,020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451,988</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Distribution to non-controlling interest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to shareholders, net of dividends received from ADS borrower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15&amp;18</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(195,645)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(195,645)</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Currency translation adjustments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137,441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139,781</w:t>
            </w:r>
          </w:p>
        </w:tc>
        <w:tc>
          <w:tcPr>
            <w:tcW w:w="0" w:type="dxa"/>
            <w:vAlign w:val="bottom"/>
          </w:tcPr>
          <w:p>
            <w:pPr>
              <w:spacing w:after="0"/>
              <w:rPr>
                <w:sz w:val="1"/>
                <w:szCs w:val="1"/>
                <w:color w:val="auto"/>
              </w:rPr>
            </w:pPr>
          </w:p>
        </w:tc>
      </w:tr>
      <w:tr>
        <w:trPr>
          <w:trHeight w:val="128"/>
        </w:trPr>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245,550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$ 1,551,702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(178,360)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$ 2,547,326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54,006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3,974,735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6500" w:type="dxa"/>
            <w:vAlign w:val="bottom"/>
            <w:tcBorders>
              <w:bottom w:val="single" w:sz="8" w:color="CCEEFF"/>
            </w:tcBorders>
          </w:tcPr>
          <w:p>
            <w:pPr>
              <w:ind w:left="6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r>
      <w:tr>
        <w:trPr>
          <w:trHeight w:val="142"/>
        </w:trPr>
        <w:tc>
          <w:tcPr>
            <w:tcW w:w="65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357,495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310,105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461,075</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58,137</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59,088</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101,131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69,714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42,067</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operating lease assets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13,539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14,135</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compensation cost to non-controlling interest shareholders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2,771</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(reversal) of allowance for credit losses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19,092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12,343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income taxes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24,038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17,727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55,874</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Foreign currency exchange (gain) loss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(4,234)</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loss from equity method investments</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(13,392)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12,170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(76,666)</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Dividend received from equity method investments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1,708</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(Gain) loss on sale of investments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(261)</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20" w:type="dxa"/>
            <w:vAlign w:val="bottom"/>
          </w:tcPr>
          <w:p>
            <w:pPr>
              <w:spacing w:after="0"/>
              <w:rPr>
                <w:sz w:val="12"/>
                <w:szCs w:val="12"/>
                <w:color w:val="auto"/>
              </w:rPr>
            </w:pPr>
          </w:p>
        </w:tc>
      </w:tr>
      <w:tr>
        <w:trPr>
          <w:trHeight w:val="149"/>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Fair value changes through earnings on investments, net</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(43,002)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(18,564)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(21,258)</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Investment-related impairment and provision</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93,382</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5,972</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on disposal of property and equipment</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(461)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of issuance cost of convertible senior notes, unsecured senior notes and long-term loans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7,774</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 due from third parties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70,767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(13,596)</w:t>
            </w:r>
          </w:p>
        </w:tc>
        <w:tc>
          <w:tcPr>
            <w:tcW w:w="20" w:type="dxa"/>
            <w:vAlign w:val="bottom"/>
          </w:tcPr>
          <w:p>
            <w:pPr>
              <w:spacing w:after="0"/>
              <w:rPr>
                <w:sz w:val="12"/>
                <w:szCs w:val="12"/>
                <w:color w:val="auto"/>
              </w:rPr>
            </w:pPr>
          </w:p>
        </w:tc>
      </w:tr>
      <w:tr>
        <w:trPr>
          <w:trHeight w:val="148"/>
        </w:trPr>
        <w:tc>
          <w:tcPr>
            <w:tcW w:w="6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 due from Alibaba</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 due from other related parties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9,491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(2,406)</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20" w:type="dxa"/>
            <w:vAlign w:val="bottom"/>
          </w:tcPr>
          <w:p>
            <w:pPr>
              <w:spacing w:after="0"/>
              <w:rPr>
                <w:sz w:val="12"/>
                <w:szCs w:val="12"/>
                <w:color w:val="auto"/>
              </w:rPr>
            </w:pPr>
          </w:p>
        </w:tc>
      </w:tr>
      <w:tr>
        <w:trPr>
          <w:trHeight w:val="148"/>
        </w:trPr>
        <w:tc>
          <w:tcPr>
            <w:tcW w:w="6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(10,944)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25,965</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(13,156)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(23,225)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(36,443)</w:t>
            </w:r>
          </w:p>
        </w:tc>
        <w:tc>
          <w:tcPr>
            <w:tcW w:w="20" w:type="dxa"/>
            <w:vAlign w:val="bottom"/>
          </w:tcPr>
          <w:p>
            <w:pPr>
              <w:spacing w:after="0"/>
              <w:rPr>
                <w:sz w:val="12"/>
                <w:szCs w:val="12"/>
                <w:color w:val="auto"/>
              </w:rPr>
            </w:pPr>
          </w:p>
        </w:tc>
      </w:tr>
      <w:tr>
        <w:trPr>
          <w:trHeight w:val="148"/>
        </w:trPr>
        <w:tc>
          <w:tcPr>
            <w:tcW w:w="6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payable</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69,948</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Accrued and other liabilities</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(28,388)</w:t>
            </w:r>
          </w:p>
        </w:tc>
        <w:tc>
          <w:tcPr>
            <w:tcW w:w="20" w:type="dxa"/>
            <w:vAlign w:val="bottom"/>
          </w:tcPr>
          <w:p>
            <w:pPr>
              <w:spacing w:after="0"/>
              <w:rPr>
                <w:sz w:val="12"/>
                <w:szCs w:val="12"/>
                <w:color w:val="auto"/>
              </w:rPr>
            </w:pPr>
          </w:p>
        </w:tc>
      </w:tr>
      <w:tr>
        <w:trPr>
          <w:trHeight w:val="148"/>
        </w:trPr>
        <w:tc>
          <w:tcPr>
            <w:tcW w:w="6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Amount due from SINA</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30,741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28,526</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revenues</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(1,905)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(613)</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2,417</w:t>
            </w:r>
          </w:p>
        </w:tc>
        <w:tc>
          <w:tcPr>
            <w:tcW w:w="20" w:type="dxa"/>
            <w:vAlign w:val="bottom"/>
          </w:tcPr>
          <w:p>
            <w:pPr>
              <w:spacing w:after="0"/>
              <w:rPr>
                <w:sz w:val="12"/>
                <w:szCs w:val="12"/>
                <w:color w:val="auto"/>
              </w:rPr>
            </w:pPr>
          </w:p>
        </w:tc>
      </w:tr>
      <w:tr>
        <w:trPr>
          <w:trHeight w:val="148"/>
        </w:trPr>
        <w:tc>
          <w:tcPr>
            <w:tcW w:w="6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(9,612)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(9,379)</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(10,853)</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taxes payable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40,656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(27,130)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(7,983)</w:t>
            </w:r>
          </w:p>
        </w:tc>
        <w:tc>
          <w:tcPr>
            <w:tcW w:w="20" w:type="dxa"/>
            <w:vAlign w:val="bottom"/>
          </w:tcPr>
          <w:p>
            <w:pPr>
              <w:spacing w:after="0"/>
              <w:rPr>
                <w:sz w:val="12"/>
                <w:szCs w:val="12"/>
                <w:color w:val="auto"/>
              </w:rPr>
            </w:pPr>
          </w:p>
        </w:tc>
      </w:tr>
      <w:tr>
        <w:trPr>
          <w:trHeight w:val="142"/>
        </w:trPr>
        <w:tc>
          <w:tcPr>
            <w:tcW w:w="6500" w:type="dxa"/>
            <w:vAlign w:val="bottom"/>
            <w:tcBorders>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672,820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639,898</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519,479</w:t>
            </w:r>
          </w:p>
        </w:tc>
        <w:tc>
          <w:tcPr>
            <w:tcW w:w="20" w:type="dxa"/>
            <w:vAlign w:val="bottom"/>
          </w:tcPr>
          <w:p>
            <w:pPr>
              <w:spacing w:after="0"/>
              <w:rPr>
                <w:sz w:val="12"/>
                <w:szCs w:val="12"/>
                <w:color w:val="auto"/>
              </w:rPr>
            </w:pPr>
          </w:p>
        </w:tc>
      </w:tr>
      <w:tr>
        <w:trPr>
          <w:trHeight w:val="142"/>
        </w:trPr>
        <w:tc>
          <w:tcPr>
            <w:tcW w:w="65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of bank time deposits and wealth management products</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(755,315)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(1,608,754)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(1,760,226)</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Maturities of bank time deposits and wealth management products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585,466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1,410,317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1,920,877</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Investment in and prepayment on long-term investments</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(602,740)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(79,804)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(110,139)</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disposal of/refund of prepayment on long-term investments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347,766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93,158</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37,545</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disposal of property and equipment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(36,772)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(61,469)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(42,368)</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Loans to SINA</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(1,105,747)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(966,563)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(753,042)</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 of loans by SINA</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1,071,100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970,877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773,519</w:t>
            </w:r>
          </w:p>
        </w:tc>
        <w:tc>
          <w:tcPr>
            <w:tcW w:w="20" w:type="dxa"/>
            <w:vAlign w:val="bottom"/>
          </w:tcPr>
          <w:p>
            <w:pPr>
              <w:spacing w:after="0"/>
              <w:rPr>
                <w:sz w:val="12"/>
                <w:szCs w:val="12"/>
                <w:color w:val="auto"/>
              </w:rPr>
            </w:pPr>
          </w:p>
        </w:tc>
      </w:tr>
      <w:tr>
        <w:trPr>
          <w:trHeight w:val="149"/>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acquisitions, net of cash acquired</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(243,385)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(5,250)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Return of prepayment to agent for share repurchase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2"/>
        </w:trPr>
        <w:tc>
          <w:tcPr>
            <w:tcW w:w="6500" w:type="dxa"/>
            <w:vAlign w:val="bottom"/>
            <w:tcBorders>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(736,846)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(246,900)</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66,617</w:t>
            </w:r>
          </w:p>
        </w:tc>
        <w:tc>
          <w:tcPr>
            <w:tcW w:w="20" w:type="dxa"/>
            <w:vAlign w:val="bottom"/>
          </w:tcPr>
          <w:p>
            <w:pPr>
              <w:spacing w:after="0"/>
              <w:rPr>
                <w:sz w:val="12"/>
                <w:szCs w:val="12"/>
                <w:color w:val="auto"/>
              </w:rPr>
            </w:pPr>
          </w:p>
        </w:tc>
      </w:tr>
      <w:tr>
        <w:trPr>
          <w:trHeight w:val="142"/>
        </w:trPr>
        <w:tc>
          <w:tcPr>
            <w:tcW w:w="65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employee options exercised</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long-term loans, net of issuance costs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9"/>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long-term loans</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(100,000)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 of unsecured senior notes</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(800,000)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convertible senior notes, net of issuance costs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321,707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(1,750)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ADS lending arrangement in connection with issuance of convertible senior notes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a subsidiary’s shares from non-controlling shareholders</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(4,871)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(33,376)</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(22,379)</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Dividends paid to shareholders, net of dividends received from ADS borrower</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(200,131)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(194,401)</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(195,644)</w:t>
            </w:r>
          </w:p>
        </w:tc>
        <w:tc>
          <w:tcPr>
            <w:tcW w:w="20" w:type="dxa"/>
            <w:vAlign w:val="bottom"/>
          </w:tcPr>
          <w:p>
            <w:pPr>
              <w:spacing w:after="0"/>
              <w:rPr>
                <w:sz w:val="12"/>
                <w:szCs w:val="12"/>
                <w:color w:val="auto"/>
              </w:rPr>
            </w:pPr>
          </w:p>
        </w:tc>
      </w:tr>
      <w:tr>
        <w:trPr>
          <w:trHeight w:val="148"/>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to non-controlling interest shareholders due to dissolution of a subsidiary</w:t>
            </w:r>
          </w:p>
        </w:tc>
        <w:tc>
          <w:tcPr>
            <w:tcW w:w="1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(356)</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Distribution to non-controlling interest shareholders</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(5,114)</w:t>
            </w:r>
          </w:p>
        </w:tc>
        <w:tc>
          <w:tcPr>
            <w:tcW w:w="20" w:type="dxa"/>
            <w:vAlign w:val="bottom"/>
          </w:tcPr>
          <w:p>
            <w:pPr>
              <w:spacing w:after="0"/>
              <w:rPr>
                <w:sz w:val="12"/>
                <w:szCs w:val="12"/>
                <w:color w:val="auto"/>
              </w:rPr>
            </w:pPr>
          </w:p>
        </w:tc>
      </w:tr>
      <w:tr>
        <w:trPr>
          <w:trHeight w:val="142"/>
        </w:trPr>
        <w:tc>
          <w:tcPr>
            <w:tcW w:w="6500" w:type="dxa"/>
            <w:vAlign w:val="bottom"/>
            <w:tcBorders>
              <w:bottom w:val="single" w:sz="8" w:color="CCEEFF"/>
            </w:tcBorders>
          </w:tcPr>
          <w:p>
            <w:pPr>
              <w:ind w:left="340"/>
              <w:spacing w:after="0" w:line="136" w:lineRule="exact"/>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21,690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(1,029,439)</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(227,293)</w:t>
            </w:r>
          </w:p>
        </w:tc>
        <w:tc>
          <w:tcPr>
            <w:tcW w:w="20" w:type="dxa"/>
            <w:vAlign w:val="bottom"/>
          </w:tcPr>
          <w:p>
            <w:pPr>
              <w:spacing w:after="0"/>
              <w:rPr>
                <w:sz w:val="12"/>
                <w:szCs w:val="12"/>
                <w:color w:val="auto"/>
              </w:rPr>
            </w:pPr>
          </w:p>
        </w:tc>
      </w:tr>
      <w:tr>
        <w:trPr>
          <w:trHeight w:val="142"/>
        </w:trPr>
        <w:tc>
          <w:tcPr>
            <w:tcW w:w="65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(57,562)</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49,506</w:t>
            </w:r>
          </w:p>
        </w:tc>
        <w:tc>
          <w:tcPr>
            <w:tcW w:w="20" w:type="dxa"/>
            <w:vAlign w:val="bottom"/>
          </w:tcPr>
          <w:p>
            <w:pPr>
              <w:spacing w:after="0"/>
              <w:rPr>
                <w:sz w:val="12"/>
                <w:szCs w:val="12"/>
                <w:color w:val="auto"/>
              </w:rPr>
            </w:pPr>
          </w:p>
        </w:tc>
      </w:tr>
      <w:tr>
        <w:trPr>
          <w:trHeight w:val="142"/>
        </w:trPr>
        <w:tc>
          <w:tcPr>
            <w:tcW w:w="650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(106,133)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(694,003)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408,309</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the beginning of the year</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2,690,768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2,584,635</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1,890,632</w:t>
            </w:r>
          </w:p>
        </w:tc>
        <w:tc>
          <w:tcPr>
            <w:tcW w:w="20" w:type="dxa"/>
            <w:vAlign w:val="bottom"/>
          </w:tcPr>
          <w:p>
            <w:pPr>
              <w:spacing w:after="0"/>
              <w:rPr>
                <w:sz w:val="12"/>
                <w:szCs w:val="12"/>
                <w:color w:val="auto"/>
              </w:rPr>
            </w:pPr>
          </w:p>
        </w:tc>
      </w:tr>
      <w:tr>
        <w:trPr>
          <w:trHeight w:val="182"/>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the end of the year</w:t>
            </w: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2,584,635</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1,890,632</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2,298,941</w:t>
            </w:r>
          </w:p>
        </w:tc>
        <w:tc>
          <w:tcPr>
            <w:tcW w:w="20" w:type="dxa"/>
            <w:vAlign w:val="bottom"/>
          </w:tcPr>
          <w:p>
            <w:pPr>
              <w:spacing w:after="0"/>
              <w:rPr>
                <w:sz w:val="15"/>
                <w:szCs w:val="15"/>
                <w:color w:val="auto"/>
              </w:rPr>
            </w:pPr>
          </w:p>
        </w:tc>
      </w:tr>
      <w:tr>
        <w:trPr>
          <w:trHeight w:val="129"/>
        </w:trPr>
        <w:tc>
          <w:tcPr>
            <w:tcW w:w="65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2"/>
                <w:szCs w:val="12"/>
                <w:color w:val="auto"/>
              </w:rPr>
              <w:t>Supplemental disclosures of cash flow information:</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interest expenses on convertible senior notes, unsecured senior notes and long-term loans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(111,231)</w:t>
            </w:r>
          </w:p>
        </w:tc>
        <w:tc>
          <w:tcPr>
            <w:tcW w:w="160" w:type="dxa"/>
            <w:vAlign w:val="bottom"/>
          </w:tcPr>
          <w:p>
            <w:pPr>
              <w:spacing w:after="0"/>
              <w:rPr>
                <w:sz w:val="12"/>
                <w:szCs w:val="12"/>
                <w:color w:val="auto"/>
              </w:rPr>
            </w:pP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(111,637)</w:t>
            </w:r>
          </w:p>
        </w:tc>
        <w:tc>
          <w:tcPr>
            <w:tcW w:w="40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(75,309)</w:t>
            </w:r>
          </w:p>
        </w:tc>
        <w:tc>
          <w:tcPr>
            <w:tcW w:w="20" w:type="dxa"/>
            <w:vAlign w:val="bottom"/>
          </w:tcPr>
          <w:p>
            <w:pPr>
              <w:spacing w:after="0"/>
              <w:rPr>
                <w:sz w:val="12"/>
                <w:szCs w:val="12"/>
                <w:color w:val="auto"/>
              </w:rPr>
            </w:pPr>
          </w:p>
        </w:tc>
      </w:tr>
      <w:tr>
        <w:trPr>
          <w:trHeight w:val="148"/>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(79,476)</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(119,701)</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(94,416)</w:t>
            </w:r>
          </w:p>
        </w:tc>
        <w:tc>
          <w:tcPr>
            <w:tcW w:w="20" w:type="dxa"/>
            <w:vAlign w:val="bottom"/>
          </w:tcPr>
          <w:p>
            <w:pPr>
              <w:spacing w:after="0"/>
              <w:rPr>
                <w:sz w:val="12"/>
                <w:szCs w:val="12"/>
                <w:color w:val="auto"/>
              </w:rPr>
            </w:pPr>
          </w:p>
        </w:tc>
      </w:tr>
      <w:tr>
        <w:trPr>
          <w:trHeight w:val="149"/>
        </w:trPr>
        <w:tc>
          <w:tcPr>
            <w:tcW w:w="6500" w:type="dxa"/>
            <w:vAlign w:val="bottom"/>
          </w:tcPr>
          <w:p>
            <w:pPr>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and equipment in accounts payable</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4,645</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17,121</w:t>
            </w:r>
          </w:p>
        </w:tc>
        <w:tc>
          <w:tcPr>
            <w:tcW w:w="20" w:type="dxa"/>
            <w:vAlign w:val="bottom"/>
          </w:tcPr>
          <w:p>
            <w:pPr>
              <w:spacing w:after="0"/>
              <w:rPr>
                <w:sz w:val="12"/>
                <w:szCs w:val="12"/>
                <w:color w:val="auto"/>
              </w:rPr>
            </w:pPr>
          </w:p>
        </w:tc>
      </w:tr>
      <w:tr>
        <w:trPr>
          <w:trHeight w:val="150"/>
        </w:trPr>
        <w:tc>
          <w:tcPr>
            <w:tcW w:w="6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Unpaid consideration for other acquisitions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Weibo Corporation (“Weibo” or the “Company”) is a leading social media platform in China for people to create, discover and distribute content. By providing a simple and inspirational way for people and organizations in China and the global Chinese communities to express themselves publicly in real time, interact with others on a platform with vast scale and stay connected with the world, Weibo has had a profound social impact in China. Launched in 2009, Weibo has been committed to enabling faster, easier, and richer connections among people and has become an integral part of many of Weibo users’ daily lives.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Incorporated in the Cayman Islands, Weibo Corporation is a controlled subsidiary of Sina Corporation (the “Parent” or “SINA”). In April 2014, the Company completed an initial public offering (the “IPO”) and received US$306.5 million in net proceeds. Immediately prior to the completion of the IPO, all the ordinary shares held by SINA were converted into an equal number of the Class B ordinary shares, all the ordinary shares held by other shareholders converted into an equal number of the Class A ordinary shares, and all of its outstanding preferred shares automatically converted into Class A ordinary shares. Each Class A ordinary share is entitled to one vote per share and each Class B ordinary share is entitled to three votes per share. Each Class B ordinary share can be converted into one Class A ordinary share at any time, while Class A ordinary shares cannot be converted into Class B ordinary shares.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the Company successfully listed its Class A ordinary shares on the main board of the Hong Kong Stock Exchange. Net proceeds from the offering, after deducting estimated underwriting fees and other offering expenses, were approximately US$178.4 million.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Weibo Corporation is an exempted company with limited liability under the laws of the Cayman Islands. WB Online and Weibo HK are wholly owned subsidiaries of the Company, and Weibo Technology, a wholly foreign-owned enterprise, (“the WFOE”), is a subsidiary of Weibo HK. The operation of Weibo business is carried out by various subsidiaries and variable interest entities (“VIE”) of the Company. The Company’s VIEs and VIEs’ subsidiaries are controlled by the WFOE through a series of contractual agreements. Weibo Corporation, its subsidiaries, VIEs and VIEs’ subsidiaries together are referred to as “the Group”.</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the Company’s major subsidiaries and major VIEs: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6"/>
                <w:szCs w:val="16"/>
                <w:color w:val="auto"/>
              </w:rPr>
            </w:pPr>
          </w:p>
        </w:tc>
        <w:tc>
          <w:tcPr>
            <w:tcW w:w="15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0" w:type="dxa"/>
            <w:vAlign w:val="bottom"/>
          </w:tcPr>
          <w:p>
            <w:pPr>
              <w:spacing w:after="0"/>
              <w:rPr>
                <w:sz w:val="1"/>
                <w:szCs w:val="1"/>
                <w:color w:val="auto"/>
              </w:rPr>
            </w:pPr>
          </w:p>
        </w:tc>
      </w:tr>
      <w:tr>
        <w:trPr>
          <w:trHeight w:val="194"/>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50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Incorporation</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Incorporation</w:t>
            </w:r>
            <w:r>
              <w:rPr>
                <w:rFonts w:ascii="Times New Roman" w:cs="Times New Roman" w:eastAsia="Times New Roman" w:hAnsi="Times New Roman"/>
                <w:sz w:val="14"/>
                <w:szCs w:val="14"/>
                <w:color w:val="auto"/>
              </w:rPr>
              <w:t>​​​</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Major Subsidiaries</w:t>
            </w:r>
          </w:p>
        </w:tc>
        <w:tc>
          <w:tcPr>
            <w:tcW w:w="1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Weibo Hong Kong Limited (“Weibo HK”)</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19, 2010</w:t>
            </w:r>
          </w:p>
        </w:tc>
        <w:tc>
          <w:tcPr>
            <w:tcW w:w="18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Hong Kong</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Weibo Internet Technology (China) Co., Ltd. (“Weibo Technology”)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11, 2010</w:t>
            </w:r>
          </w:p>
        </w:tc>
        <w:tc>
          <w:tcPr>
            <w:tcW w:w="18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PRC</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WB Online Investment Limited (“WB Online”)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5, 2014</w:t>
            </w:r>
          </w:p>
        </w:tc>
        <w:tc>
          <w:tcPr>
            <w:tcW w:w="18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Cayman Islands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Major VIEs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Weimeng Technology Co., Ltd (“Weimeng”)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9, 2010</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PRC</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Weimeng Chuangke Investment Management Co., Ltd.</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(“Weimeng Chuangke”)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9, 2014</w:t>
            </w:r>
          </w:p>
        </w:tc>
        <w:tc>
          <w:tcPr>
            <w:tcW w:w="18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PRC</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intellectual property license agreement was entered into by and between SINA and the Company in April 2013. Under this agreement, SINA granted the Company and its subsidiaries a perpetual, worldwide, royalty-free, fully paid-up, non-sub licensable, non-transferable, limited, exclusive license of certain trademarks and a non-exclusive license of certain other intellectual property owned by SINA to make, sell, offer to sell and distribute products, services and applications on a microblogging and social networking platform. The Company granted SINA and its affiliates a non-exclusive, perpetual, worldwide, non-sub licensable, non-transferable limited license of certain of the Company’s intellectual property to use, reproduce, modify, prepare derivative works of, perform, display or otherwise exploit such intellectual property. This agreement commenced on April 29, 2013 and will continue to be in effect unless and until terminated as provided in the agreement. There are no capitalized assets or other impacts recorded on the consolidated balance sheets related to these licenses.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SINA and Weibo</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Accounts receivable directly related to the Group but for which SINA will receive payments and remit payments to the Group, as well as accounts receivable directly from SINA, are included in the amount due from SINA. Liabilities directly related to the Group but for which SINA will make payments and receive reimbursements from the Group, as well as liabilities directly to SINA, are included in the amount due to SINA. The amount due from/to SINA is presented as an offsetting balance on the Group’s consolidated balance sheets. Loans to SINA are presented under investing activities in the consolidated statements of cash flows. Cash payment for billings from SINA for costs and expenses allocated to the Group is presented under operating activities in the consolidated statements of cash flows. The Group’s consolidated statements of comprehensive income contain all the related costs and expenses of the Weibo business, including allocation to the cost of revenues, sales and marketing expenses, product development expenses, and general and administrative expenses, which are incurred by SINA but related to the Weibo business. These allocations were based on proportional cost allocation by considering proportion of the revenues, infrastructure usage metrics and labor usage metrics, among other things, attributable to the Group and are made on a basis considered reasonable by mutual managements.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costs and expenses allocated from SINA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7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188"/>
        </w:trPr>
        <w:tc>
          <w:tcPr>
            <w:tcW w:w="436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4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US$ thousands)</w:t>
            </w:r>
          </w:p>
        </w:tc>
        <w:tc>
          <w:tcPr>
            <w:tcW w:w="220" w:type="dxa"/>
            <w:vAlign w:val="bottom"/>
            <w:gridSpan w:val="2"/>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4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4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17,975</w:t>
            </w:r>
          </w:p>
        </w:tc>
      </w:tr>
      <w:tr>
        <w:trPr>
          <w:trHeight w:val="223"/>
        </w:trPr>
        <w:tc>
          <w:tcPr>
            <w:tcW w:w="4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36,483</w:t>
            </w:r>
          </w:p>
        </w:tc>
        <w:tc>
          <w:tcPr>
            <w:tcW w:w="2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220" w:type="dxa"/>
            <w:vAlign w:val="bottom"/>
            <w:gridSpan w:val="2"/>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31,724</w:t>
            </w:r>
          </w:p>
        </w:tc>
      </w:tr>
      <w:tr>
        <w:trPr>
          <w:trHeight w:val="20"/>
        </w:trPr>
        <w:tc>
          <w:tcPr>
            <w:tcW w:w="4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the Company, its wholly-owned subsidiaries, VIEs controlled by the WFOE through a series of contractual agreements, and VIEs’ subsidiaries. All significant intercompany balances and transactions have been </w:t>
      </w:r>
      <w:r>
        <w:rPr>
          <w:rFonts w:ascii="Times New Roman" w:cs="Times New Roman" w:eastAsia="Times New Roman" w:hAnsi="Times New Roman"/>
          <w:sz w:val="16"/>
          <w:szCs w:val="16"/>
          <w:color w:val="auto"/>
        </w:rPr>
        <w:t>eliminated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comply with PRC laws and regulations, the Group provides a substantial amount of its services in China via the VIEs, which hold critical operating licenses that enable the Group to do business in China. Most of the Group’s revenues, costs and expenses, and net income before intercompany transactions in China were generated directly or indirectly through the VIEs and VIEs’ subsidiaries. The Company relies on contractual arrangements among its PRC subsidiaries, the VIEs and their shareholders to control the business operations of the VIEs and VIEs’ subsidiaries and the Group has determined that Weibo Technology, the WFOE, is the primary beneficiary of the VIEs through its contractual arrangements with the VIEs. Accordingly, the Company has consolidated the results of operations and assets and liabilities of VIEs and VIEs’ subsidiaries in the Group’s financial statements pursuant to the United States Generally Accepted Accounting Principles (“US GAAP”) for all the periods presented.</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Shareholders of the VIEs are certain nominee shareholders from the Company or SINA. The capital for their investments in the VIEs is funded by the Company and recorded as interest-free loans to these individuals. These loans were eliminated with the capital of the VIEs during consolidation. Each shareholder of the VIEs has agreed to transfer their equity interest in the VIEs to Weibo Technology when permitted by PRC laws and regulations or to designees of the Company at any time for the amount of loans outstanding. All voting rights of the VIEs, including without limitation the right to appoint all directors of the VIEs, has been assigned to Weibo Technology. Weibo Technology has also entered into exclusive technical service agreements with the VIEs under which Weibo Technology provides technical and other services to the VIEs in exchange for substantially all net income of the VIEs. In addition, the shareholders of the VIEs have pledged their shares in the VIEs as collateral for the non-payment of loans or for the technical and other services fees due to Weibo Technology. As of December 31, 2024 and 2025, the total amounts of interest-free loans to the VIEs’ shareholders were US$80.2 million and US$83.6 million, respectively. The VIEs and VIEs’ subsidiaries had accumulated deficit of US$117.3 million and income of US$14.0 million as of December 31, 2024 and 2025, respectively, which were included in the Group’s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(Continued)</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cash flows of the VIEs and VIEs’ subsidiaries taken as a whole, which are included in the Group’s consolidated balance sheets and consolidated statements of comprehensive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7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678,562</w:t>
            </w: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(to) SINA</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238,142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63,550</w:t>
            </w:r>
          </w:p>
        </w:tc>
        <w:tc>
          <w:tcPr>
            <w:tcW w:w="0" w:type="dxa"/>
            <w:vAlign w:val="bottom"/>
          </w:tcPr>
          <w:p>
            <w:pPr>
              <w:spacing w:after="0"/>
              <w:rPr>
                <w:sz w:val="1"/>
                <w:szCs w:val="1"/>
                <w:color w:val="auto"/>
              </w:rPr>
            </w:pPr>
          </w:p>
        </w:tc>
      </w:tr>
      <w:tr>
        <w:trPr>
          <w:trHeight w:val="26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1,953,246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2,211,626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114,034</w:t>
            </w:r>
          </w:p>
        </w:tc>
        <w:tc>
          <w:tcPr>
            <w:tcW w:w="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the subsidiaries of the Group</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1,325,148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1,944,826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2,094,757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1,953,246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F-12</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9"/>
        </w:trPr>
        <w:tc>
          <w:tcPr>
            <w:tcW w:w="6420" w:type="dxa"/>
            <w:vAlign w:val="bottom"/>
          </w:tcPr>
          <w:p>
            <w:pPr>
              <w:ind w:left="6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1,531,675</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1,512,278</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1,509,928</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4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8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131,201</w:t>
            </w:r>
          </w:p>
        </w:tc>
      </w:tr>
      <w:tr>
        <w:trPr>
          <w:trHeight w:val="421"/>
        </w:trPr>
        <w:tc>
          <w:tcPr>
            <w:tcW w:w="6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189"/>
        </w:trPr>
        <w:tc>
          <w:tcPr>
            <w:tcW w:w="6420" w:type="dxa"/>
            <w:vAlign w:val="bottom"/>
          </w:tcPr>
          <w:p>
            <w:pPr>
              <w:ind w:left="6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159,891</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202,668</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60,922</w:t>
            </w: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(22,453)</w:t>
            </w: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(260,289)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r>
    </w:tbl>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contractual arrangements with the VIEs, the Company has the power to direct activities of the VIEs through Weibo Technology and can have assets transferred freely out of the VIEs without restrictions. Therefore, the Company considers that there is no asset of the VIEs that can only be used to settle obligations of the VIEs and VIEs’ subsidiaries, except for the registered capital and non-distributable reserve funds of the VIEs and VIEs’ subsidiaries, amounting to US$202.5 million and US$210.9 million as of December 31, 2024 and 2025, respectively. Since the VIEs are incorporated as limited liability companies under the PRC Company Law, creditors of the VIEs do not have recourse to the general credit of the Company. There is currently no contractual arrangement that would require the Company to provide additional financial support to the VIEs. As the Company is conducting certain businesses mainly through the VIEs, the Company may provide such support on a discretionary basis in the future, which could expose the Company to a loss. The total amount of costs and expenses allocated from SINA to the VIEs was US$6.6 million, US$6.7 million and US$7.7 million for the years ended December 31, 2023, 2024 and 2025, respectively.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VIEs hold assets with no carrying value in the consolidated balance sheets that are important to the Company’s ability to produce revenue (referred to as unrecognized revenue-producing assets). Unrecognized revenue-producing assets held by the VIEs include the Internet Content Provision License, the Online Culture Operating Permit, the domain names of Weibo.com, Weibo.cn and Weibo.com.cn and so on. Recognized revenue-producing assets held by the VIEs include game technology, supplier-relationship contracts, and trademark and domain names, which were acquired through the previous acquisitions. Unrecognized revenue-producing assets, including customer lists relating to advertising and marketing services, membership, and game-related services, as well as trademarks, are also held by Weibo Technology.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VIE agreements with Weimeng. The VIE agreements with Weimeng Chuangke are substantially the same as those described below:</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Loan Agreements. </w:t>
      </w:r>
      <w:r>
        <w:rPr>
          <w:rFonts w:ascii="Times New Roman" w:cs="Times New Roman" w:eastAsia="Times New Roman" w:hAnsi="Times New Roman"/>
          <w:sz w:val="18"/>
          <w:szCs w:val="18"/>
          <w:color w:val="auto"/>
        </w:rPr>
        <w:t>Weibo Technology has granted interest-free loans to the shareholders of Weimeng, who are PRC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Group or SINA, but not the controlling shareholders of SINA, with the sole purpose of providing funds necessary for those shareholders to make capital injections to Weimeng. The term of the loans is 10 years and Weibo Technology has the right, at its own discretion, to shorten or extend the term of the loans if necessary. In the consolidated financial statements, these loans are eliminated with the capital of Weimeng during consolidation.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Transfer Agreements. </w:t>
      </w:r>
      <w:r>
        <w:rPr>
          <w:rFonts w:ascii="Times New Roman" w:cs="Times New Roman" w:eastAsia="Times New Roman" w:hAnsi="Times New Roman"/>
          <w:sz w:val="18"/>
          <w:szCs w:val="18"/>
          <w:color w:val="auto"/>
        </w:rPr>
        <w:t>Each shareholder of Weimeng has granted Weibo Technology an option to purchase his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Weimeng at a purchase price equal to the amount of capital injection. Weibo Technology may exercise such option at any time until it has acquired all shares of Weimeng, subject to applicable PRC laws. The options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 Repayment Agreements. </w:t>
      </w:r>
      <w:r>
        <w:rPr>
          <w:rFonts w:ascii="Times New Roman" w:cs="Times New Roman" w:eastAsia="Times New Roman" w:hAnsi="Times New Roman"/>
          <w:sz w:val="18"/>
          <w:szCs w:val="18"/>
          <w:color w:val="auto"/>
        </w:rPr>
        <w:t>Each shareholder of Weimeng has agreed with Weibo Technology that the interest-free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loan agreements shall only be repaid through share transfers. Once the share transfers are completed, the purchase price for the share transfer will be set off against the loan repayment. These agreements will be effective until the earlier of (i) Weibo Technology and the shareholders of Weimeng have fully performed their obligations under these agreements, and (ii) Weibo Technology and the shareholders of Weimeng agree in writing to terminate these agreements.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(Continued)</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Agreement on Authorization to Exercise Shareholder’s Voting Power. </w:t>
      </w:r>
      <w:r>
        <w:rPr>
          <w:rFonts w:ascii="Times New Roman" w:cs="Times New Roman" w:eastAsia="Times New Roman" w:hAnsi="Times New Roman"/>
          <w:sz w:val="18"/>
          <w:szCs w:val="18"/>
          <w:color w:val="auto"/>
        </w:rPr>
        <w:t>Each shareholder of Weimeng has authorized Weibo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exercise all his voting power as a shareholder of the applicable VIE on all matters requiring shareholders’ approval under PRC laws and regulations and the articles of association of Weimeng, including, without limitation, appointment of directors, transfer, mortgage or disposal of Weimeng’s assets, transfer of any equity interest in Weimeng, and merger, split, dissolution and liquidation of Weimeng. The authorizations are irrevocable and will not expire until Weimeng dissolves.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Share Pledge Agreements. </w:t>
      </w:r>
      <w:r>
        <w:rPr>
          <w:rFonts w:ascii="Times New Roman" w:cs="Times New Roman" w:eastAsia="Times New Roman" w:hAnsi="Times New Roman"/>
          <w:sz w:val="18"/>
          <w:szCs w:val="18"/>
          <w:color w:val="auto"/>
        </w:rPr>
        <w:t>Each shareholder of Weimeng has pledged all of his shares in Weimeng and all other rights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his rights in those shares to Weibo Technology as security for his obligations to pay off all debts to Weibo Technology under the loan agreement. In the event of default of such obligations, Weibo Technology will be entitled to certain rights, including transferring the pledged shares to itself and disposing of the pledged shares through sale or auction. During the term of the agreements, Weibo Technology is entitled to receive all dividends and distributions paid on the pledged shares. The pledges will be effective until the earlier of (i) the third anniversary of the due date of the last guaranteed debt, (ii) Weimeng and its shareholders have fully performed their obligations under these agreements, and (iii) Weibo Technology consents to terminate these agreements. Weimeng has completed registration of equity pledges with the relevant office of the administration for industry and commerce in accordance with the PRC Civil Code.</w:t>
      </w:r>
    </w:p>
    <w:p>
      <w:pPr>
        <w:spacing w:after="0" w:line="1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Exclusive Technical Services Agreement, Exclusive Sales Agency Agreement and Trademark License Agreement. </w:t>
      </w:r>
      <w:r>
        <w:rPr>
          <w:rFonts w:ascii="Times New Roman" w:cs="Times New Roman" w:eastAsia="Times New Roman" w:hAnsi="Times New Roman"/>
          <w:sz w:val="18"/>
          <w:szCs w:val="18"/>
          <w:color w:val="auto"/>
        </w:rPr>
        <w:t>Weimeng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an exclusive technical services agreement, an exclusive sales agency agreement and a trademark license agreement with Weibo Technology. Under the exclusive technical services agreement, Weibo Technology is engaged to provide technical services for Weimeng’s online advertising and other related businesses. Under the exclusive sales agency agreement, Weimeng has granted Weibo Technology the exclusive right to distribute, sell and provide agency services for all the products and services provided by Weimeng. Due to its control over Weimeng, Weibo Technology has the right to determine the service fee to be charged to Weimeng under these agreements by considering, among other things, the technical complexity of the services, the actual cost that may be incurred for providing such services, the operations of Weimeng, applicable tax rates, planned capital expenditure and business strategies. These agreements can only be prematurely terminated by Weibo Technology, and will not expire until Weimeng dissolves. Under the trademark license agreement, Weibo Technology has granted Weimeng trademark licenses to use the trademarks held by or licensed to Weibo Technology in specific areas, and Weimeng is obligated to pay license fees to Weibo Technology. The term of this agreement is one year and is automatically renewed provided there is no objection from Weibo Technology.</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Spousal Consent Letters. </w:t>
      </w:r>
      <w:r>
        <w:rPr>
          <w:rFonts w:ascii="Times New Roman" w:cs="Times New Roman" w:eastAsia="Times New Roman" w:hAnsi="Times New Roman"/>
          <w:sz w:val="18"/>
          <w:szCs w:val="18"/>
          <w:color w:val="auto"/>
        </w:rPr>
        <w:t>Each of the spouses of the shareholders of Weimeng signed the spousal consent letters.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except for the third-party minority stakeholder, collectively hold 99% equity interest in Weimeng. Pursuant to the spousal consent letters, each signing spouse unconditionally and irrevocably agreed that the spouse is aware of the abovementioned loan agreements, share transfer agreements, loan repayment agreements, agreement on authorization to exercise shareholder’s voting power and share pledge agreements and has read and understood the contractual arrangements. Each signing spouse has committed not to make any assertions in connection with the equity interests of the relevant shareholder’s interest in Weimeng, to execute all necessary documents and take all necessary actions to ensure appropriate performance of the abovementioned agreements, and, if the spouse obtains any equity interests of Weimeng, to be bound by the abovementioned agreements, comply with the obligations thereunder as a shareholder of Weimeng and sign a series of written documents in substantially the same format and content as the abovementioned agreements.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VIE agreements provide Weibo Technology with the power to direct the activities that most significantly affect the economic performance of the Group’s consolidated VIEs and enable the Group to receive substantially all of the economic benefits generated by them. For the years ended December 31, 2023, 2024 and 2025, the total amount of service fees that Weibo Technology charged to Weimeng under these service agreements and trademark license agreement was US$714.8 million, US$712.4 million and US$651.6 million, respectively, which were based on the actual cost incurred from providing the services and the operations of Weimeng and eliminated on consolidation level.</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Weibo Technology, Weimeng Chuangke and Weimeng Chuangke’s shareholders have entered into contractual arrangements which contain agreements and terms substantially similar to Weibo Technology’s contractual arrangements with Weimeng and Weimeng’s shareholders described above.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(Continued)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Minority Investment in Weimeng</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2020, WangTouTongDa (Beijing) Technology Co., Ltd., made an investment of approximately RMB10.7 million in Weimeng for 1% of Weimeng’s enlarged registered capital. Such third-party minority stake holder is entitled to customary economic rights in proportion to its equity ownership, and certain minority shareholder rights such as the right to appoint a director to Weimeng’s three-member board of directors, and veto rights over certain matters related to content decision, and certain future financings of Weimeng.</w:t>
      </w:r>
    </w:p>
    <w:p>
      <w:pPr>
        <w:spacing w:after="0" w:line="1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third-party minority stake holder is not a party to the contractual arrangements mentioned above that are currently in effect among Weimeng, Weibo Technology and Weimeng’s other shareholders. As such, despite the fact that the Company is still able to enjoy economic benefits and exercise effective control over Weimeng and its subsidiaries, the Company is not able to purchase or have the third-party minority stake holder pledge its 1% equity interests in Weimeng in the same manner as agreed under existing contractual arrangements, nor is it granted the authorization of voting rights over these 1% equity interests. The Company believes Weibo Technology, the wholly-owned PRC subsidiary, still controls and is the primary beneficiary of Weimeng (for accounting purpose only) as it continues to have a controlling financial interest in Weimeng pursuant to ASC 810-10-25-38A after the issuance of such 1% equity interests.</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believes that the contractual arrangements among the WFOE, VIEs and VIEs’ shareholders are not in conflict with the current PRC laws and regulations. However, uncertainties in the interpretation and enforcement of the PRC laws, regulations and policies could limit the Company’s ability to enforce these contractual arrangements. As a result, the Company may be unable to consolidate the VIEs and VIEs’ subsidiaries in the consolidated financial statements. The Company’s ability to control the VIEs also depends on the authorization by the shareholders of the VIEs to exercise voting rights on all matters requiring shareholder approval in the VIEs. The Company believes that the agreements on authorization to exercise shareholder’s voting power are legally enforceable. In addition, if the legal structure and contractual arrangements with the VIEs were found to be in violation of any future PRC laws and regulations, the Company may be subject to fines or other actions. The Company believes the possibility that it will no longer be able to control and consolidate the VIEs as a result of the aforementioned risks and uncertainties is remote.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Group’s consolidated financial statements is in conformity with U.S. GAAP. The consolidated financial statements include the accounts of Weibo, its wholly owned subsidiaries, VIEs, and VIEs’ subsidiaries. All significant intercompany balances and transactions have been eliminated.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Conformity with U.S. GAAP requires the use of estimates and judgments that affect the reported amounts in the consolidated financial statements and accompanying notes. These estimates form the basis for judgments the management makes about the carrying values of the assets and liabilities, which are not readily apparent from other sources. Significant accounting estimates include, but are not limited to goodwill impairment and allowance for credit losses for loans to and interest receivable from a related party. The management bases the estimates and judgments on historical information and on various other assumptions that management believes are reasonable under the circumstances. Actual results could differ materially from such estimates.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ASC 606, revenues are recognized when control of the promised goods or services is transferred to customers, in an amount that reflects the consideration the Group expects to be entitled to in exchange for those goods or services. The Group identifies its contracts with customers and all performance obligations within those contracts. The Group then determines the transaction price and allocates the transaction price to the performance obligations within the Group’s contracts with customers, recognizing revenue when, or as, the Group satisfies its performance obligations.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does not believe that significant management judgments are involved in revenue recognition, but the amount and timing of the Group’s revenues could be different for any period if management made different judgments. Certain customers may receive sales rebates, which are accounted for as variable consideration. The Group estimates annual expected revenue volume of each individual agent with reference to their historical results. The Group recognizes revenue for the amount of fees it receives from its customers, after deducting estimated sales rebates and net of value-added tax (“VAT”) under ASC 606. The Group believes that there will not be significant changes to its estimates of variable consideration.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considers the ultimate beneficiary of its online advertising services as an “advertiser,” meaning the party whose products, brand awareness or marketing activities benefited from the execution of advertisement. The Group considers a party that it enters into an advertisement service contract with as its “customer” from accounting perspective. As such, the Group treats an advertising agency who enters into an advertisement service contract with it as a customer, and such advertising agency may represent and serve multiple advertisers. If an advertiser directly enters into an advertisement service contract with the Group, it will treat such advertiser also as a customer.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disaggregated by revenue source for the years ended December 31, 2023, 2024 and 2025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9"/>
        </w:trPr>
        <w:tc>
          <w:tcPr>
            <w:tcW w:w="6700" w:type="dxa"/>
            <w:vAlign w:val="bottom"/>
          </w:tcPr>
          <w:p>
            <w:pPr>
              <w:ind w:left="6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0"/>
              </w:rPr>
              <w:t>(In US$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 revenues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 from advertisers signing contracts with the Group directly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559,339</w:t>
            </w:r>
          </w:p>
        </w:tc>
      </w:tr>
      <w:tr>
        <w:trPr>
          <w:trHeight w:val="22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from advertising agencies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1,096,738</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1,011,387</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942,291</w:t>
            </w:r>
          </w:p>
        </w:tc>
      </w:tr>
      <w:tr>
        <w:trPr>
          <w:trHeight w:val="223"/>
        </w:trPr>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1,498,693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1,501,630</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255,984</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255,586</w:t>
            </w:r>
          </w:p>
        </w:tc>
      </w:tr>
      <w:tr>
        <w:trPr>
          <w:trHeight w:val="223"/>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1,759,836</w:t>
            </w:r>
          </w:p>
        </w:tc>
        <w:tc>
          <w:tcPr>
            <w:tcW w:w="18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$ 1,754,677</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1,757,216</w:t>
            </w: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enters into contracts with its customers, which may give rise to contract assets (unbilled revenue) or contract liabilities (deferred revenue). The payment terms and conditions within the Group’s contracts vary by the type and location of its customers and products or services purchased, the substantial majority of which are due in less than one year. Deferred revenues related to unsatisfied performance obligations at the end of the period are mainly from the customer advance of the advertising and marketing services and the sales of the fee-based services, such as membership, and virtual currency or in-game virtual items sold for game related services. The deferred revenues are recognized based on customers’ consumption or amortized on a straight-line basis through the service period for different products/services. Due to the generally short-term duration of the contracts, the majority of the performance obligations are satisfied in the following reporting period. The amount of revenue recognized that was included in the deferred revenue balance at the beginning of the period was US$49.9 million, US$50.9 million and US$49.5 million for the years ended December 31, 2023, 2024 and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generally expenses sales commissions when incurred because the amortization period is generally one year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sales and marketing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 revenues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Advertising and marketing revenues are derived principally from online advertising, including social display ads and promoted marketing. Social display ad arrangements allow customers to place advertisements on particular areas of the Group’s platform or website in particular formats and over particular periods of time, which is typically no more than three months. The Group enters into cost per mille (“CPM”), or cost per thousand impressions, advertising arrangements with the customers, under which the Group recognizes revenues based on the number of times that the advertisement has been displayed. The Group also enters into cost per day (“CPD”) advertising arrangements with customers, under which the Group recognizes revenues ratably over the contract periods. Promoted marketing arrangements are primarily priced based on CPM. Under the CPM model, customers are obligated to pay when the advertisement is displayed.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 revenues (Continued)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Group’s majority revenue transactions are based on standard business terms and conditions, which are recognized net of agency rebates. The agency rebates are accounted for as variable consideration and are estimated during interim periods based on estimated annual revenue volume of each individual agent with reference to their historical results, which involves accounting judgment. The Group believes its estimation approach in variable consideration results in revenue recognition in a manner consistent with the underlying economics of the transaction and the true ups and adjustments were immaterial for the periods presented.</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The Group’s contracts with customers may include multiple performance obligations, which primarily consist of combinations of services to allow customers to place advertisements on different areas of its platform or website. For such arrangements, advertising arrangements involving multiple deliverables are broken down into single-element arrangements based on their stand-alone selling price for revenue recognition purposes. The estimation of stand-alone selling price involves significant judgment, especially for the deliverables that have not been sold separately. For those deliverables, the Group determines best estimate of the stand-alone selling price by taking into consideration of the pricing of advertising areas of the Group’s platform or website with similar popularities and advertisements with similar formats and quoted prices from competitors and other market conditions. The Group believes the estimation approach in stand-alone selling price and allocation of the transaction price on a relative stand-alone selling price to each performance obligation results in revenue recognition in a manner consistent with the underlying economics of the transaction and the allocation principle included in ASC 606. Revenues recognized with reference to best estimation of selling price were immaterial for all periods presented. Most of such contracts have all performance obligations completed within one year. Changes in judgments on these assumptions and estimates could materially impact the timing or amount of revenue recognition, but were not material for the periods presented. Contracts with customers of online advertising may require cooperation from third parties. The Group pays a predetermined portion of revenues earned from advertising contracts to the third parties such as key opinion leaders who participate in advertising and promotion activities by monetizing their social assets. The Group has determined that it is the principal in these transactions, as it has primary responsibility for fulfilling all the obligations related to advertising contracts. The Group has discretion in establishing pricing of the contracts and controls the advertising inventory before the delivery to customers. The Group records revenues derived from such contracts on a gross basis and the portion paid to the third parties is recognized as cost of revenues.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Value-added services 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generates value-added services revenues principally from fee-based services, mainly including membership and game-related services. Revenues from these services are recognized when control of the promised services is transferred to customers, in an amount that reflects the consideration the Group expects to be entitled to in exchange for those services.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Membership. </w:t>
      </w:r>
      <w:r>
        <w:rPr>
          <w:rFonts w:ascii="Times New Roman" w:cs="Times New Roman" w:eastAsia="Times New Roman" w:hAnsi="Times New Roman"/>
          <w:sz w:val="18"/>
          <w:szCs w:val="18"/>
          <w:color w:val="auto"/>
        </w:rPr>
        <w:t>Membership mainly includes a service package consisting of one performance obligation of providing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and preferential benefits, such as daily priority listings and higher quota for following user accounts. Prepaid membership fees are recorded as deferred revenue and recognized as revenue ratably over the contract period of the membership service.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Game-related services. </w:t>
      </w:r>
      <w:r>
        <w:rPr>
          <w:rFonts w:ascii="Times New Roman" w:cs="Times New Roman" w:eastAsia="Times New Roman" w:hAnsi="Times New Roman"/>
          <w:sz w:val="18"/>
          <w:szCs w:val="18"/>
          <w:color w:val="auto"/>
        </w:rPr>
        <w:t>Game-related service revenues are mostly generated from the purchase of virtual items by game players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Group’s platform, including items, avatars, skills, privileges or other in game consumables, features or functionality, within the games. The Group’s performance obligation is to provide on-going game services to players who purchased virtual items to gain an enhanced game-playing experience. Each virtual item is considered as a distinctive performance obligation. The satisfaction of the Group’s performance obligation is dependent on the nature of the virtual item purchased and as a result, the Group categorizes most of its virtual items as consumable. Consumable virtual items represent items that can be consumed by a specific user action (e.g. a one-time gift to other players). Common characteristics of consumable virtual items may include items that do not provide the user any continuing benefit following consumption. For the sale of consumable virtual items, the Group recognizes revenue as the items are consumed. The Group collects payments from the game players in connection with the sale of virtual currency, which can be used to purchase virtual items in online games. For games co-operated with third-parties, revenue is recorded on a gross basis for games that the Group is acting as the principal in fulfilling all obligations related to the games and revenue is recorded net of predetermined revenue sharing with the third-parties for games in which the Group is not acting as the principal in fulfilling all obligations. Virtual currency sold for game-related services in excess of recognized revenues is recorded as deferred revenues.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revenues consists mainly of costs associated with the maintenance of platform, which primarily include bandwidth and other infrastructure costs, revenue-share cost, advertisement production cost, labor cost and turnover taxes levied on the revenues, part of which were allocated from SINA. The Group is subject to 3% cultural business construction fees for its advertising and marketing revenues, which is included in cost of revenues. Starting from January 1, 2022, the 3% cultural business construction fees was reduced to 1.5%, valid until December 31,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and marketing expenses consist mainly of online and offline advertising and promotional expenses, salary, benefits and commission expenses, and facility expenses. Advertising and promotional expenses generally represent the expenses of promotions of corporate image and product marketing. The Group expenses all advertising and promotional expenses as incurred and classifies these expenses under sales and marketing expenses. For the years ended December 31, 2023, 2024 and 2025, the advertising and promotional expenses were US$302.3 million, US$319.8 million and US$338.1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Product development expenses consist mainly of payroll-related expenses and infrastructure costs incurred for enhancement to and maintenance of the Group’s platform, as well as costs associated with new product development and product enhancements, part of which were allocated from SINA. The Group expenses all costs incurred for the planning, post implementation phases of development and costs associated with repair or maintenance of the existing site or the development of platform content. Since inception, the amount of costs qualifying for capitalization has been immaterial and, as a result, all product development costs have been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stock-based awards to employees and directors, such as stock options and restricted share units (“RSUs”), are measured at the grant date based on the fair value of the awards. Stock-based compensation, net of forfeitures, is recognized as expense on a straight-line basis over the requisite service period, which is the vesting period.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uses the Black-Scholes option pricing model to estimate the fair value of stock options. The determination of estimated fair value of stock-based payment awards on the grant date using an option pricing model is affected by the fair value of the Company’s ordinary shares as well as assumptions regarding a number of complex and subjective variables. These variables include the expected value volatility of the Company over the expected term of the awards, actual and projected employee stock option exercise behaviors, a risk-free interest rate and expected dividends, if any. Options granted generally vest over four years.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recognizes the estimated compensation cost of restricted share units based on the fair value of its ordinary shares on the date of the grant. The Group recognizes the compensation cost, net of estimated forfeitures, over a vesting term of generally four years for service-based restricted share units. The Group uses Monte Carlo simulation model to estimate the fair value of restricted share units with market conditions on the date of the grant and recognizes the estimated compensation cost, net of estimated forfeitures, over the estimated requisite service period. The Group also recognizes the compensation cost of performance-based restricted share units, net of estimated forfeitures, if it is probable that the performance condition will be achieved at the end of each reporting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Forfeitures are estimated at the time of grant and revised in subsequent periods if actual forfeitures differ from those estimates. The Group uses historical data to estimate pre-vesting option and records stock-based compensation expense only for those awards that are expected to vest. See Note 7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further discussion on stock-based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taxes are accounted for using the asset and liability approach. Under this approach, income tax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the amount of taxes payable or refundable for the current year. In addition, deferred tax assets and liabilities are recognized for expected future tax consequences of temporary differences between the financial reporting and tax bases of assets and liabilities, and for operating losses and tax credit carry forwards. The Group records a valuation allowance to reduce deferred tax assets to an amount for which realization is more likely than not.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positions. </w:t>
      </w:r>
      <w:r>
        <w:rPr>
          <w:rFonts w:ascii="Times New Roman" w:cs="Times New Roman" w:eastAsia="Times New Roman" w:hAnsi="Times New Roman"/>
          <w:sz w:val="18"/>
          <w:szCs w:val="18"/>
          <w:color w:val="auto"/>
        </w:rPr>
        <w:t>To assess uncertain tax positions, the Group applies a more likely than not threshold and a two-step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likely than not of being realized upon settlement.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Short-term investments represent bank time deposits whose original maturities are of greater than three months but less than one year and wealth management products which are certain deposits with variable interest rates or principal not-guaranteed with certain financial institutions.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wealth management products with the interest rate indexed to performance of underlying assets, the Group elected the fair value method at the date of initial recognition and re-measured these investments at fair value. Changes in the fair value are reflected in the consolidated statements of comprehensive income as interest income. As of December 31, 2025, a small portion of cash was restricted temporarily under certain short-term investments purchase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ASC 326, the Group makes estimates of expected credit and collectability trends for the allowance for credit losses based upon assessment of various factors, including historical experience, the age of the accounts receivable balances, credit-worthiness of the customers, current economic conditions, reasonable and supportable forecasts of future economic conditions, and other factors that may affect its ability to collect from the customers. The Group also provides specific provisions for allowance when facts and circumstances indicate that the receivable is unlikely to be collected. Expected credit losses for accounts receivable are recorded as general and administrative expenses on the consolidated statements of comprehensive income.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 Topic 326 is also applicable to the loans to and interest receivable from other related parties included in the prepaid expenses and other current assets and other non-current assets on the consolidated balance sheets. Management estimates the allowance for credit losses on loans and interest receivable not sharing similar risk characteristics on an individual basis. The key factors considered when determining the above allowances for credit losses include the fair value of the assets held by the borrowers.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financial assets and liabilities are recognized or disclosed at fair value in the consolidated financial statements on a recurring basis.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measures the equity method investments at fair value on a non-recurring basis only if an impairment charge were to be recognized. For those investments without readily determinable fair value, the Group measures them at fair value when observable price changes are identified or impairment charge was recognized. The fair values of the Group’s privately held investments as disclosed are determined based on the discounted cash flow model using the discount curve of market interest rates or based on the similar transaction price in the market directly. The fair values of the Group’s long-term investments in the equity securities of publicly listed companies are measured using quoted market prices. The Group’s non-financial assets, such as intangible assets, goodwill, fixed assets and operating lease assets, are measured at fair value only if they are determined to be impaired.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(Continued)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0" w:lineRule="exact"/>
        <w:rPr>
          <w:sz w:val="20"/>
          <w:szCs w:val="20"/>
          <w:color w:val="auto"/>
        </w:rPr>
      </w:pPr>
    </w:p>
    <w:p>
      <w:pPr>
        <w:ind w:left="1000" w:hanging="317"/>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carrying amount of cash and cash equivalents, short-term investments, accounts receivable due from third parties, accounts receivable due from Alibaba, accounts receivable due from other related parties, amount due from SINA, accounts payable, accrued and other liabilities approximates fair value because of their short-term nature. See Note 14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Long-term investments are comprised of investments in publicly traded companies, privately held companies, and limited partnerships. The Group uses the equity method to account for common shares or in-substance common shares investments on which it has significant influence but does not own a majority equity interest or otherwise control.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measures investments in equity securities, other than equity method investments, at fair value through earnings. For those investments without readily determinable fair values, the Group elects to record these investments at cost, less impairment, plus or minus subsequent adjustments for observable price changes (referred to as the measurement alternative). Under this measurement alternative, changes in the carrying value of the investments will be recognized in consolidated statement of comprehensive income, whenever there are observable price changes in orderly transactions for the identical or similar investment of the same issuer.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 (Continued)</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ASC 321, for equity investments measured at fair value with changes in fair value recorded in earnings, the Group does not assess whether those securities are impaired. For equity investments without readily determinable fair value for which the Group has elected to use the measurement alternative, the Group makes a qualitative assessment of whether the investment is impaired at each reporting date, applying significant judgement in considering various factors and events including a) adverse performances and business prospects of investees; b) adverse changes in the general market condition affecting investees; c) adverse changes in regulatory, economic or technological environment of the investees and d) adverse changes in cash flow forecasts of investees. If a qualitative assessment indicates that the investment is impaired, the Group estimates the investment’s fair value in accordance with the principles of ASC 820-Fair Value Measurement. If the fair value is less than the investment’s carrying value, the Group recognizes an impairment loss in net income equal to the difference between the carrying value and fair value. Significant judgement is applied by the Group in estimating the fair value to determine if an impairment exists, and if so, to measure the impairment losses for these equity security investments. These judgements include the selection of valuation methods in estimating fair value and the determination of key valuation assumptions used, which are related to selection of comparable companies, valuation multiples, revenue growth rate of investees, scenario probability estimates and lack of marketability discounts.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Business combinations are recorded at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the (i) the total of consideration paid, fair value of the non-controlling interests and acquisition date fair value of any previously held equity interest in the subsidiary acquired over (ii) the fair value of the identifiable net assets of the subsidiary acquired is recorded as goodwill. If the consideration of acquisition is less than the fair value of the net assets of the subsidiary acquired, the difference is recognized directly in the consolidated statements of comprehensive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 determines if an arrangement is a lease at inception by evaluating whether the arrangement conveys the right to use an identified asset and whether the Group obtains substantially all of the economic benefits from and has the ability to direct the use of the asset. Operating lease assets and liabilities are included in operating lease right-of-use assets, operating lease liabilities, short-term, and operating lease liabilities, long-term on the Group’s consolidated balance sheets. The Group has chosen to not recognize lease assets and lease liabilities for leases with a term of twelve months or less on the consolidated balance sheets.</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recognized based on the present value of lease payments over the lease terms at the lease commencement dates. The Group uses its incremental borrowing rate in determining the present value of lease payments. The incremental borrowing rate is a hypothetical rate based on the Group’s understanding of what interest the Group would pay in order to obtain a borrowing with an amount equivalent to the lease payments in a similar economic environment over the lease term on a collateralized basis from banks in China.</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lease agreements contain an option for the Group to renew a lease for a term agreed by the Group and the lessor or an option to terminate a lease earlier than the maturity dates. The Group considers these options, which may be elected at the Group’s sole discretion, in determining the lease term on a lease-by-lease basis. The Group’s lease agreements generally do not contain any residual value guarantees or material restrictive covenants. Certain of the Group’s leases contain free or escalating rent payment terms. The Group’s lease agreements generally contain lease and non-lease components. Non-lease components primarily include payments for maintenance and utilities. The Group has chosen to combine payments for non-lease components with lease payments and accounted them together as a single lease component. Payments under the lease arrangements are primarily fixed. However, for arrangements accounted for as a single lease component, there may be variability in future lease payments as the amount of the non-lease components is typically revised from one period to the next.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amortization and impairment, if any. Depreciation is computed using the straight-line method over the estimated useful lives of the assets, generally from three to four years for computers and equipment and five years for furniture and fixtures. Leasehold improvements are amortized over the shorter of the estimated useful lives of the assets or the remaining lease term. Office building (SINA Plaza) is amortized over 45 years and office building related facilities are amortized over 20 years. Depreciation expenses were US$39.2 million, US$36.8 million and US$41.3 million for the years ended December 31, 2023,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the identifiable assets and liabilities acquired as a result of the Group’s acquisitions of interests in its subsidiaries, consolidated VIEs and VIEs’ subsidiaries. The Group assesses goodwill for impairment in accordance with ASC Subtopic 350-20 (“ASC 350-20”), </w:t>
      </w:r>
      <w:r>
        <w:rPr>
          <w:rFonts w:ascii="Times New Roman" w:cs="Times New Roman" w:eastAsia="Times New Roman" w:hAnsi="Times New Roman"/>
          <w:sz w:val="18"/>
          <w:szCs w:val="18"/>
          <w:i w:val="1"/>
          <w:iCs w:val="1"/>
          <w:color w:val="auto"/>
        </w:rPr>
        <w:t>Intangibles-Goodwill and Other: Goodwill</w:t>
      </w:r>
      <w:r>
        <w:rPr>
          <w:rFonts w:ascii="Times New Roman" w:cs="Times New Roman" w:eastAsia="Times New Roman" w:hAnsi="Times New Roman"/>
          <w:sz w:val="18"/>
          <w:szCs w:val="18"/>
          <w:color w:val="auto"/>
        </w:rPr>
        <w:t>, which requires that goodwill be tested for impairment at the reporting unit level at least annually and more frequently upon the occurrence of certain events, as defined by ASC 350-20. The guidance provides the option that the Group may first assess qualitative factors to determine whether it is necessary to perform the quantitative goodwill impairment test, by taking into consideration of macroeconomics, overall financial performance, industry and market conditions and the share price of the Group. If determined to be necessary, the quantitative impairment test shall be used to identify goodwill impairment. Potential impairment is identified by comparing the fair value of a reporting unit to its carrying value, including goodwill. Application of a goodwill impairment test requires management judgment, including the identification of reporting units, assigning assets and liabilities to reporting units, assigning goodwill to reporting units, and determining the fair value of each reporting unit.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Intangible assets arising from acquisitions are recognized at fair value upon acquisition and amortized on a straight-line basis over their estimated useful lives, generally from three to ten years. Long-lived assets and certain identifiable intangible assets other than goodwill to be held and used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and certain identifiable intangible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asset’s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unsecured senior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Group determines the appropriate accounting treatment of its convertible senior notes in accordance with the terms in relation to the conversion feature. After considering the impact of such features, the Group may account for such instrument as a liability in its entirety, or separate the instrument into debt and equity components following the respective guidance described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and ASC 470</w:t>
      </w:r>
      <w:r>
        <w:rPr>
          <w:rFonts w:ascii="Times New Roman" w:cs="Times New Roman" w:eastAsia="Times New Roman" w:hAnsi="Times New Roman"/>
          <w:sz w:val="18"/>
          <w:szCs w:val="18"/>
          <w:i w:val="1"/>
          <w:iCs w:val="1"/>
          <w:color w:val="auto"/>
        </w:rPr>
        <w:t xml:space="preserve"> Debt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debt discount, if any, together with related issuance cost are subsequently amortized as interest expense over the contractual life. The Group presented the issuance costs of debt as a direct deduction from the related debt during the periods presented.</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unsecured senior notes are recognized initially at fair value, net of debt discounts or premiums, if any, issuance costs and other incidental fees, all of which are recorded as a direct deduction of the proceeds received from issuing the unsecured senior notes and the related accretion is recorded as interest expense in the consolidated statement of comprehensive income over the estimated term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revenues consist of contractual billings in excess of recognized revenue and payments received in advance of revenue recognition, which are mainly from the customer advance of the advertising and marketing services and the sales of the fee-based services, such as membership, and virtual currency or in-game virtual items sold for game related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Company’s majority-owned subsidiaries and VIEs, non-controlling interests are recognized to reflect the portion of their equity that is not attributable, directly or indirectly, to the Company as the controlling shareholder. To reflect the economic interest held by non-controlling shareholders, net income/loss attributable to the non-controlling ordinary shareholders is recorded as non-controlling interests in the Company’s consolidated statements of comprehensive income. Non-controlling interests are classified as a separate line item in the equity section of the Company’s consolidated balance sheets and have been separately disclosed in the Company’s consolidated financial statements to distinguish the interests from that of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reporting currency and functional currency is the U.S. dollar. The Group’s operations in China and in international regions use their respective currencies as their functional currencies. The financial statements of these subsidiaries are translated into U.S. dollars using period-end rates of exchange for assets and liabilities and average rates of exchange in the period for revenues, costs and expenses. Translation gains and losses are recorded in accumulated other comprehensive income as a component of shareholders’ equity. Translation gains or losses are not released to net income unless the associated net investment has been sold, liquidated, or substantially liquidated.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the functional currency are translated into the functional currency using the exchange rate prevailing on the transactions dates. Monetary assets and liabilities denominated in foreign currencies are translated into the functional currency using the applicable exchange rates at the balance sheets dates. Net gains and losses resulting from foreign exchange transactions are included in other income, net.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Foreign currency translation adjustments included in the Group’s consolidated statements of comprehensive income for the years ended December 31, 2023, 2024 and 2025 were loss of US$114.7 million, loss of US$99.3 million and income of US$139.8 million, respectively. Net foreign currency transaction gains or losses arise from transacting in a currency other than the functional currency of the entity and the amounts recorded for the years ended December 31, 2023, 2024 and 2025 were loss of US$9.1 million, loss of US$8.3 million and gain of US$4.2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ordinary shares outstanding during the period. Options and RSUs are not considered outstanding in the computation of basic earnings per share. Diluted net income per share is computed using the weighted average number of ordinary shares and potential ordinary shares outstanding during the period, which include options to purchase ordinary shares, restricted share units and conversion of the convertible senior notes. The computation of diluted net income per share does not assume conversion, exercise, or contingent issuance of securities that would have an anti-dilutive effect (i.e. an increase in earnings per share amounts or a decrease in loss per share amounts) on net income per share. The Group uses the two-class method to calculate net income per share though both classes share the same rights in dividends. Therefore, basic and diluted earnings per share are the same for both classes of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Group’s chief operating decision maker (“CODM”), the Chief Executive Officer, reviews the consolidated results when making decisions about allocating resources and assessing performance of the Group as a whole. The Group currently operates and manages its business in two principal business lines globally—advertising and marketing services and value-added services. Information regarding the business lines provided to the Group’s CODM is at the revenue level and the Group currently does not allocate operating costs or assets to its business lines, as its CODM does not use such information to allocate resources or evaluate the performance of the business lines. Hence, the Group has only one operating segment. As the Group’s long-lived assets are substantially all located in the PRC and substantially the Group’s revenues are derived from within the PRC, no geographical information is presented.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Group to a concentration of credit risk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cash and cash equivalents, short-term investments and accounts receivable. In addition, with the majority of its operations in China, the Group is subject to RMB currency risk and offshore remittance risk, both of which have been difficult to hedge and the Group has not done so. The Group limits its exposure to credit loss by depositing its cash and cash equivalents with financial institutions in the US, PRC and Hong Kong, which are among the largest financial institutions with high ratings from internationally-recognized rating agencies, that management believes are of high credit quality. The Group periodically reviews these institutions’ reputations, track records and reported reserves.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2024 and 2025, the Group had US$1.6 billion and US$2.2 billion, respectively, in cash and cash equivalents and short-term investments, such as bank time deposits, with large domestic banks in China. The terms of these deposits are, in general, up to twelve months. China promulgated a Bankruptcy Law that came into effect on June 1, 2007, which contains a separate article expressly stating that the State Council may promulgate implementation measures for the bankruptcy of Chinese banks based on the Bankruptcy Law. Under the Bankruptcy Law, a Chinese bank may go bankrupt. In addition, since China’s concession to WTO, foreign banks have been gradually permitted to operate in China and have become significant competitors to Chinese banks in many aspects, especially since the opening of RMB business to foreign banks in late 2006. Therefore, the risk of bankruptcy on Chinese banks in which the Group holds cash and bank deposits has increased. In the event that a Chinese bank that holds the Group’s deposits goes bankrupt, the Group is unlikely to claim its deposits back in full, since it is unlikely to be classified as a secured creditor to the bank under the PRC laws. The Group’s total cash and cash equivalents and short-term investments held at two Chinese financial institutions, representing 36% and 20% of the Group’s total cash and cash equivalents and short-term investments as of December 31, 2025.</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customer nor advertising agency accounted for 10% or more of the Group’s revenues. The Group’s top 10 advertising agencies contributed to 37%, 35% and 32% of the Group’s revenues for the years ended December 31, 2023, 2024 and 2025,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2025, substantially all accounts receivable were derived from the Group’s China operations. Excluding accounts receivable due from Alibaba and other related parties, accounts receivable primarily consist of amounts due from advertising agencies and direct customers. Alibaba accounted for 13% and 11% of the Group’s net accounts receivable as of December 31, 2024 and 2025, respectively. Another related-party customer accounted for 11% and 10% of the Group’s net accounts receivable as of December 31, 2024, and 2025, respectively.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Concentration of foreign currency risks. </w:t>
      </w:r>
      <w:r>
        <w:rPr>
          <w:rFonts w:ascii="Times New Roman" w:cs="Times New Roman" w:eastAsia="Times New Roman" w:hAnsi="Times New Roman"/>
          <w:sz w:val="18"/>
          <w:szCs w:val="18"/>
          <w:color w:val="auto"/>
        </w:rPr>
        <w:t>The majority of the Group’s operations were in RMB. As of December 31,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Group’s cash, cash equivalents and short-term investments balance denominated in RMB was US$1,487.6 million and US$2,039.6 million, accounting for 63% and 85% of the Group’s total cash, cash equivalents and short-term investments balance at the respective dates. As of December 31, 2024 and 2025, the Group’s aggregate net accounts receivable balance (including accounts receivable due from third parties, Alibaba and other related parties) denominated in RMB was US$336.8 million and US$396.7 million, respectively, accounting for almost all of its net accounts receivable balance. As of December 31, 2024 and 2025, the Group’s current liabilities balance denominated in RMB was US$947.7 million and US$1,028.9 million, accounting for almost all of its total current liabilities balance. The Group may experience economic losses and negative impacts on earnings and equity, as well as translation risk, because of exchange rate fluctuations of the RMB against the U.S. dollars. Moreover, the Chinese government imposes controls on the convertibility of the RMB into foreign currencies and, in certain cases, the remittance of currency out of the PRC. The Group may experience difficulties in completing the necessary administrative procedures on a timely basis to remit its RMB out of the PRC and convert it into foreign currency.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(Topic 220) - Reporting Comprehensive Income - Expense Disaggregation Disclosures (Subtopic 220-40), which was subsequently amended with ASU No. 2025-01 to clarify the effective date. ASU No.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with early adoption is permitted. The Group is currently evaluating the impact of the new guidance on its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(Continued)</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ASU No. 2025-05 provides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guidance is effective for annual reporting periods beginning after December 15, 2025, including interim periods within those fiscal years with early adoption is permitted. The Group does not expect the adoption to have a material impact on its consolidated financial statements.</w:t>
      </w:r>
    </w:p>
    <w:p>
      <w:pPr>
        <w:spacing w:after="0" w:line="1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 - Internal-Use Software (Subtopic 350-40). ASU No. 2025-06 modernizes the accounting for internal-use software to reflect current development practices, clarifies when to begin capitalizing costs, and enhances disclosure requirements. The guidance is effective for annual reporting periods beginning after December 15, 2027, including interim periods within those fiscal years with early adoption is permitted. The Group is currently evaluating the impact of the new guidance on its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Short-term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6"/>
                <w:szCs w:val="16"/>
                <w:color w:val="auto"/>
              </w:rPr>
            </w:pPr>
          </w:p>
        </w:tc>
      </w:tr>
      <w:tr>
        <w:trPr>
          <w:trHeight w:val="189"/>
        </w:trPr>
        <w:tc>
          <w:tcPr>
            <w:tcW w:w="7200" w:type="dxa"/>
            <w:vAlign w:val="bottom"/>
          </w:tcPr>
          <w:p>
            <w:pPr>
              <w:ind w:left="70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69"/>
        </w:trPr>
        <w:tc>
          <w:tcPr>
            <w:tcW w:w="7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 US$ thousands)</w:t>
            </w:r>
          </w:p>
        </w:tc>
      </w:tr>
      <w:tr>
        <w:trPr>
          <w:trHeight w:val="22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1,890,632</w:t>
            </w: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2,298,941</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time deposits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389,905</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29,222</w:t>
            </w:r>
          </w:p>
        </w:tc>
      </w:tr>
      <w:tr>
        <w:trPr>
          <w:trHeight w:val="230"/>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76,917</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459,852</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106,139</w:t>
            </w: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2,350,484</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2,405,080</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of cash, cash equivalents and short-term investments approximate the fair value.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Investments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Long-term investments comprised of investments in publicly traded companies, privately held companies, and limited partnerships. The following sets forth the changes in the Group’s long-term investments: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Equity Securities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Securities With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Without Readily</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Readily Determinable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9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Determinable Fair Values</w:t>
            </w: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Method</w:t>
            </w:r>
            <w:r>
              <w:rPr>
                <w:rFonts w:ascii="Times New Roman" w:cs="Times New Roman" w:eastAsia="Times New Roman" w:hAnsi="Times New Roman"/>
                <w:sz w:val="14"/>
                <w:szCs w:val="14"/>
                <w:color w:val="auto"/>
              </w:rPr>
              <w:t xml:space="preserve"> ​​​</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196,579</w:t>
            </w:r>
          </w:p>
        </w:tc>
        <w:tc>
          <w:tcPr>
            <w:tcW w:w="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557,501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239,550</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993,630</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made/transfers from prepayments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70,864</w:t>
            </w:r>
          </w:p>
        </w:tc>
        <w:tc>
          <w:tcPr>
            <w:tcW w:w="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303,845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374,709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 net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from equity method investments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(4,683)</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investments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(3,463)</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(14,250)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0" w:type="dxa"/>
            <w:vAlign w:val="bottom"/>
          </w:tcPr>
          <w:p>
            <w:pPr>
              <w:spacing w:after="0"/>
              <w:rPr>
                <w:sz w:val="1"/>
                <w:szCs w:val="1"/>
                <w:color w:val="auto"/>
              </w:rPr>
            </w:pP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Changes from measurement alternative to consolidation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(43,988)</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(43,988)</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equity investment with readily</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determinable fair value to equity-method investment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investments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(25,706)</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through earnings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(8,384)</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201,290</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1,000,828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118,268</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1,320,386</w:t>
            </w:r>
          </w:p>
        </w:tc>
        <w:tc>
          <w:tcPr>
            <w:tcW w:w="0" w:type="dxa"/>
            <w:vAlign w:val="bottom"/>
          </w:tcPr>
          <w:p>
            <w:pPr>
              <w:spacing w:after="0"/>
              <w:rPr>
                <w:sz w:val="1"/>
                <w:szCs w:val="1"/>
                <w:color w:val="auto"/>
              </w:rPr>
            </w:pP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made/transfers from prepayments/other non-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136,985</w:t>
            </w:r>
          </w:p>
        </w:tc>
        <w:tc>
          <w:tcPr>
            <w:tcW w:w="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162,823</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investments, net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(12,170)</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from equity method investments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(10,269)</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investments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(2,228)</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(21,811)</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investments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(38,689)</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through earnings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(26,024)</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(27,407)</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956,392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136,832</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1,389,199</w:t>
            </w:r>
          </w:p>
        </w:tc>
        <w:tc>
          <w:tcPr>
            <w:tcW w:w="0" w:type="dxa"/>
            <w:vAlign w:val="bottom"/>
          </w:tcPr>
          <w:p>
            <w:pPr>
              <w:spacing w:after="0"/>
              <w:rPr>
                <w:sz w:val="1"/>
                <w:szCs w:val="1"/>
                <w:color w:val="auto"/>
              </w:rPr>
            </w:pP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made/transfers from prepayments/other non-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186,038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186,395</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 net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76,666</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from equity method investments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(12,807)</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investments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(23,460)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investments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(5,972)</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through earnings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$ 1,213,564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1,663,346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Investments (Continued)</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invested in private companies totaling US$70.9 million, US$137.0 million and US$0.4 million, respectively, which were accounted for under investments without readily determinable fair values. These investments were primarily to further expand and strengthen the Group’s ecosystem and mainly included a follow - on investment of US$40.0 million in a company providing online brokerage services during 2023 and a US$127.0 million investment in a media company focusing on providing financial information in 2024. The Group also recognized investments of US$303.8 million,US$25.8 million and US$186.0 million in companies, which were accounted for under equity method, for the years ended December 31, 2023, 2024 and 2025, respectively. These investments mainly included US$230.8 million investment in INMYSHOW Digital Technology (Group) Co., Ltd. (“INMYSHOW”, a Shanghai Stock Exchange listed company, providing social and new media marketing services) in 2023, and several investment funds in 2023 to 2025, respectively. In March 2023, the Group purchased all equity interests in ShowWorld HongKong Limited, a shareholder of INMYSHOW. As the shares of INMYSHOW was the only asset held by ShowWorld HongKong Limited, the transaction was considered an asset acquisition. Furthermore, as the Group and ShowWorld HongKong Limited are under the common control of SINA, the transaction was considered an asset acquisition under common control. According to ASC 805-50, for a transfer of assets between entities under common control, the acquirer entity shall initially measure the assets and liabilities transferred at their carrying values in the accounts of the transferring entity. Therefore, the newly acquired shares of INMYSHOW was recorded in the Group’s consolidated balance sheets using their carrying value at SINA’s, and the difference between the consideration paid by the Group and the carrying value of US$230.8 million of the assets was recognized in additional paid-in capital as a distribution on the acquisition date. Immediately following this transaction and together with the Group’s existing shareholding in INMYSHOW, the Group held in the aggregate approximately 26.57% of the total issued shares of INMYSHOW. Consequently, the Group reclassified its investment in INMYSHOW from equity securities with readily determinable fair values to equity method.</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used measurement alternative for recording equity investments without readily determinable fair values at cost, less impairment, adjusted for subsequent observable price changes. Changes in the carrying value of the equity investment under measurement alternative will be recognized whenever there are observable price changes in orderly transactions for the identical or similar investment of the same issuer, and impairment charges will be recorded when any impairment indicators are noted and the fair value is lower than the carrying value. The Group classifies the valuation techniques on investments that use similar identifiable transaction prices as Level 2 of fair value measurements.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total carrying value of the equity investments accounted for under the measurement alternative as of December 31, 2024 and 2025, respectively, including cumulative upward and downward adjustments made to the initial cost basis of the securities.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300" w:type="dxa"/>
            <w:vAlign w:val="bottom"/>
          </w:tcPr>
          <w:p>
            <w:pPr>
              <w:ind w:left="81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Cumulative Results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70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Upward adjustments</w:t>
            </w: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Downward adjustments</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 at December 31, 2024</w:t>
            </w:r>
          </w:p>
        </w:tc>
        <w:tc>
          <w:tcPr>
            <w:tcW w:w="70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cost basis</w:t>
            </w:r>
          </w:p>
        </w:tc>
        <w:tc>
          <w:tcPr>
            <w:tcW w:w="70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Upward adjustments</w:t>
            </w: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Downward adjustments</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 at December 31, 2025</w:t>
            </w:r>
          </w:p>
        </w:tc>
        <w:tc>
          <w:tcPr>
            <w:tcW w:w="70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Investments (Continued)</w:t>
      </w:r>
    </w:p>
    <w:p>
      <w:pPr>
        <w:spacing w:after="0" w:line="229"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The Group assessed or engaged third-party valuation firms to help the management assess the fair value of certain investments, using Level 3 of fair value measurement and concluded that impairment was warranted for those investments at the year-end. Thus, the Group recognized US$38.7 million and US$6.0 million impairment charges to investments without readily determinable fair value for the years ended December 31, 2024 and 2025, respectively. The impairment charges mainly included a US$30.0 million impairment on a US-based company manufacturing hydrogen-powered autonomous trucks in 2024 and a US$3.7 million write-off on a company engaging in online literature business in 2025 due to their negative financial performance with no obvious upturn or potential financing solutions in the foreseeable future or adverse changes in their regulatory environment.</w:t>
      </w:r>
    </w:p>
    <w:p>
      <w:pPr>
        <w:spacing w:after="0" w:line="191" w:lineRule="exact"/>
        <w:rPr>
          <w:sz w:val="20"/>
          <w:szCs w:val="20"/>
          <w:color w:val="auto"/>
        </w:rPr>
      </w:pPr>
    </w:p>
    <w:p>
      <w:pPr>
        <w:jc w:val="both"/>
        <w:ind w:right="40" w:firstLine="648"/>
        <w:spacing w:after="0" w:line="274" w:lineRule="auto"/>
        <w:rPr>
          <w:sz w:val="20"/>
          <w:szCs w:val="20"/>
          <w:color w:val="auto"/>
        </w:rPr>
      </w:pPr>
      <w:r>
        <w:rPr>
          <w:rFonts w:ascii="Times New Roman" w:cs="Times New Roman" w:eastAsia="Times New Roman" w:hAnsi="Times New Roman"/>
          <w:sz w:val="18"/>
          <w:szCs w:val="18"/>
          <w:color w:val="auto"/>
        </w:rPr>
        <w:t>Investments in marketable equity securities are valued using the market approach based on the quoted prices in active markets at the reporting dates. The Group classified the valuation techniques that use these inputs as Level 1 of fair value measurements. The Group records the investment in Didi Global Inc. (“Didi”), a company operating a mobility technology platform, under equity securities with readily determinable fair values and recognized a fair value change gain of US$18.6 million and US$21.3 million in 2024 and 2025, respectively.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and fair value of the marketable securities: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5700" w:type="dxa"/>
            <w:vAlign w:val="bottom"/>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Didi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(5,168)</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136,832</w:t>
            </w: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136,832</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Didi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158,090</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equity method investments held by the Group in aggregate have met the significance criteria as defined under Rule 4-08(g) of Regulation S-X. The condensed financial information of the Group’s equity method investments is summarized as a group as follow: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2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gridSpan w:val="12"/>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88"/>
              </w:rPr>
              <w:t>(In US$ thousands)</w:t>
            </w:r>
          </w:p>
        </w:tc>
        <w:tc>
          <w:tcPr>
            <w:tcW w:w="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data:</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850,102</w:t>
            </w:r>
          </w:p>
        </w:tc>
        <w:tc>
          <w:tcPr>
            <w:tcW w:w="6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744,438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298,736</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12,153</w:t>
            </w:r>
          </w:p>
        </w:tc>
        <w:tc>
          <w:tcPr>
            <w:tcW w:w="6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(35,142)</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8,188</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(72,168)</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the investees’ shareholders</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9,856</w:t>
            </w:r>
          </w:p>
        </w:tc>
        <w:tc>
          <w:tcPr>
            <w:tcW w:w="6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(68,129)</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gridSpan w:val="2"/>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8"/>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1,833,099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2,105,598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2,770,207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3,388,111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1,310,409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1,297,642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4560" w:type="dxa"/>
            <w:vAlign w:val="bottom"/>
          </w:tcPr>
          <w:p>
            <w:pPr>
              <w:spacing w:after="0"/>
              <w:rPr>
                <w:sz w:val="24"/>
                <w:szCs w:val="24"/>
                <w:color w:val="auto"/>
              </w:rPr>
            </w:pPr>
          </w:p>
        </w:tc>
        <w:tc>
          <w:tcPr>
            <w:tcW w:w="236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F-28</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Investments (Continued)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recorded investment-related impairment and provision of US$23.6 million, US$93.4 million and US$6.0 million for the years ended December 31, 2023, 2024 and 2025, respectively, due to various adverse factors affecting the performance of the investees that arose in the respective periods. The impairment charges recorded in 2023 mainly included a US$15.9 million write-off on an online education company. The impairment charges recorded in 2024 included a US$30.0 million impairment on a US-based company manufacturing hydrogen-powered autonomous trucks due to adverse changes in its regulatory environments, and a US$49.0 million impairment reflecting increased valuation uncertainty that arose in 2024 associated with the extended transaction timeline of a commercial property investment. The impairment charges recorded in 2025 mainly included a US$3.7 million write-off on a company engaging in online literature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has operating leases primarily for land-use rights and office spaces in China. The determination of whether an arrangement is or contains a lease is made at inception by evaluating whether the arrangement conveys the right to use an identified asset and whether the Group obtains substantially all of the economic benefits from and has the ability to direct the use of the asset. Operating lease assets and liabilities are included in operating lease right-of-use assets, operating lease liabilities, short-term, and operating lease liabilities, long-term on the Group’s consolidated balance sheets. The Group has chosen to not recognize lease assets and lease liabilities for leases with a term of twelve months or less on the consolidated balance sheets.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recognized based on the present value of lease payments over the lease terms at the lease commencement dates. The Group uses its incremental borrowing rate in determining the present value of lease payments. The incremental borrowing rate is a hypothetical rate based on the Group’s understanding of what interest the Group would pay in order to obtain a borrowing with an amount equivalent to the lease payments in a similar economic environment over the lease term on a collateralized basis from banks in China.</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lease agreements contain an option for the Group to renew a lease for a term agreed by the Group and the lessor or an option to terminate a lease earlier than the maturity dates. The Group considers these options, which may be elected at the Group’s sole discretion, in determining the lease term on a lease-by-lease basis. The Group’s lease agreements generally do not contain any residual value guarantees or material restrictive covenants. Certain of the Group’s leases contain free or escalating rent payment terms. The Group’s lease agreements generally contain lease and non-lease components. Non-lease components primarily include payments for maintenance and utilities. The Group has chosen to combine payments for non-lease components with lease payments and accounted them together as a single lease component. Payments under the lease arrangements are primarily fixed. However, for arrangements accounted for as a single lease component, there may be variability in future lease payments as the amount of the non-lease components is typically revised from one period to the next.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2023, 2024 and 2025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89"/>
        </w:trPr>
        <w:tc>
          <w:tcPr>
            <w:tcW w:w="6420" w:type="dxa"/>
            <w:vAlign w:val="bottom"/>
          </w:tcPr>
          <w:p>
            <w:pPr>
              <w:ind w:left="63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15,824</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w:t>
            </w:r>
          </w:p>
        </w:tc>
      </w:tr>
      <w:tr>
        <w:trPr>
          <w:trHeight w:val="229"/>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23"/>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 (Continued)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9"/>
        </w:trPr>
        <w:tc>
          <w:tcPr>
            <w:tcW w:w="6420" w:type="dxa"/>
            <w:vAlign w:val="bottom"/>
          </w:tcPr>
          <w:p>
            <w:pPr>
              <w:ind w:left="63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(11,936)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w:t>
            </w:r>
          </w:p>
        </w:tc>
      </w:tr>
      <w:tr>
        <w:trPr>
          <w:trHeight w:val="22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r>
      <w:tr>
        <w:trPr>
          <w:trHeight w:val="446"/>
        </w:trPr>
        <w:tc>
          <w:tcPr>
            <w:tcW w:w="75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under operating leases as of December 31, 2025 were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5"/>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6"/>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(In US$ thousands)</w:t>
            </w:r>
          </w:p>
        </w:tc>
      </w:tr>
      <w:tr>
        <w:trPr>
          <w:trHeight w:val="230"/>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29"/>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21,584</w:t>
            </w: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payments for recognized leasing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52,352</w:t>
            </w:r>
          </w:p>
        </w:tc>
      </w:tr>
      <w:tr>
        <w:trPr>
          <w:trHeight w:val="229"/>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23"/>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42,392</w:t>
            </w: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operating leases recognized in lease liabilities have average remaining lease terms of 10.5 years and weighted-average discount rate of 4.8%.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Acquisitions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fourth quarter of 2023, the Group acquired another 33.1% equity interest of an investee, Xi’an Yunrui Network Technology Co., Ltd. (“Yunrui”), operating an online interactive entertainment application “Werewolf”, in which the Group previously held 17.9% equity interest, with a cash consideration of US$30.4 million. The Group obtained the control and held 51% equity interest in the investee upon completion of the transaction on October 1, 2023. In accordance with ASC805-accounting for step-up acquisition, the 17.9% equity interest previously held by the Group was re-measured to fair value at the acquisition date and a re-measurement gain of US$3.9 million was recognized. The Group engaged a third-party valuation firm to help the management determine the fair value of assets and liabilities obtained from the transaction. The identifiable intangible assets acquired on the acquisition date mainly included trademark, software copyright and cooperation agreement with a famous third-party IT company of US$31.2 million with estimated lives ranging from five to ten years. The intangible assets were measured at fair value upon acquisition primarily using the royalty savings method, multi-periods excess earning model and cost approach. Key assumptions and estimates used in determining the fair value of these intangible assets include cash flow forecasts, the revenue growth rates, and the discount rates.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Acquisitions (Continued)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consideration of the acquisition of Yunrui was allocated based on the fair value of the assets acquired and the liabilities assumed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80" w:type="dxa"/>
            <w:vAlign w:val="bottom"/>
          </w:tcPr>
          <w:p>
            <w:pPr>
              <w:ind w:left="77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0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October 1, 2023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92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previously held equity interest</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short-term investments acquired</w:t>
            </w:r>
          </w:p>
        </w:tc>
        <w:tc>
          <w:tcPr>
            <w:tcW w:w="920" w:type="dxa"/>
            <w:vAlign w:val="bottom"/>
            <w:gridSpan w:val="2"/>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acquired</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 acquired</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acquisition completed in 2023 individually contributed immaterial amounts to revenues and net income for 2023. Since it did not have a material impact on the Group’s consolidated financial statements, pro forma disclosures have not been presented. Apart from what have been disclosed above, there was no other acquisitions during the years ended December 31, 2023, 2024 and 2025,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the changes in the Group’s goodwill by reporting units: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120" w:type="dxa"/>
            <w:vAlign w:val="bottom"/>
            <w:gridSpan w:val="4"/>
          </w:tcPr>
          <w:p>
            <w:pPr>
              <w:ind w:left="20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Advertising &amp;</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Value-added</w:t>
            </w:r>
          </w:p>
        </w:tc>
        <w:tc>
          <w:tcPr>
            <w:tcW w:w="380" w:type="dxa"/>
            <w:vAlign w:val="bottom"/>
            <w:gridSpan w:val="3"/>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r>
      <w:tr>
        <w:trPr>
          <w:trHeight w:val="194"/>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6"/>
        </w:trPr>
        <w:tc>
          <w:tcPr>
            <w:tcW w:w="4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(In US$ thousands)</w:t>
            </w:r>
          </w:p>
        </w:tc>
        <w:tc>
          <w:tcPr>
            <w:tcW w:w="2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9"/>
        </w:trPr>
        <w:tc>
          <w:tcPr>
            <w:tcW w:w="4560" w:type="dxa"/>
            <w:vAlign w:val="bottom"/>
            <w:shd w:val="clear" w:color="auto" w:fill="CCEEFF"/>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77,161</w:t>
            </w: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42,990</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120,151</w:t>
            </w: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Yunrui</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48,669</w:t>
            </w:r>
          </w:p>
        </w:tc>
      </w:tr>
      <w:tr>
        <w:trPr>
          <w:trHeight w:val="230"/>
        </w:trPr>
        <w:tc>
          <w:tcPr>
            <w:tcW w:w="4560" w:type="dxa"/>
            <w:vAlign w:val="bottom"/>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w w:val="99"/>
              </w:rPr>
              <w:t>Currency translation adjustment</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4560" w:type="dxa"/>
            <w:vAlign w:val="bottom"/>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166,436</w:t>
            </w:r>
          </w:p>
        </w:tc>
      </w:tr>
      <w:tr>
        <w:trPr>
          <w:trHeight w:val="230"/>
        </w:trPr>
        <w:tc>
          <w:tcPr>
            <w:tcW w:w="4560" w:type="dxa"/>
            <w:vAlign w:val="bottom"/>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w w:val="99"/>
              </w:rPr>
              <w:t>Currency translation adjustment</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23"/>
        </w:trPr>
        <w:tc>
          <w:tcPr>
            <w:tcW w:w="4560" w:type="dxa"/>
            <w:vAlign w:val="bottom"/>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162,223</w:t>
            </w:r>
          </w:p>
        </w:tc>
      </w:tr>
      <w:tr>
        <w:trPr>
          <w:trHeight w:val="230"/>
        </w:trPr>
        <w:tc>
          <w:tcPr>
            <w:tcW w:w="4560" w:type="dxa"/>
            <w:vAlign w:val="bottom"/>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w w:val="99"/>
              </w:rPr>
              <w:t>Currency translation adjustment</w:t>
            </w:r>
          </w:p>
        </w:tc>
        <w:tc>
          <w:tcPr>
            <w:tcW w:w="2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r>
      <w:tr>
        <w:trPr>
          <w:trHeight w:val="223"/>
        </w:trPr>
        <w:tc>
          <w:tcPr>
            <w:tcW w:w="4560" w:type="dxa"/>
            <w:vAlign w:val="bottom"/>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93,172</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169,280</w:t>
            </w:r>
          </w:p>
        </w:tc>
      </w:tr>
      <w:tr>
        <w:trPr>
          <w:trHeight w:val="20"/>
        </w:trPr>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Intangible Assets and Acquisitions (Continued)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performs at least annually a qualitative analysis on the goodwill arising from acquisitions taking into consideration the events and circumstances, including consideration of macroeconomic factors, industry and market conditions, share price of the Group, and overall financial performance, in addition to other entity-specific factors. During the years ended December 31, 2023, 2024 and 2025, a sustained relatively low share price was noted by the Group and deemed as an impairment indicator of the goodwill. The Group performed quantitative analysis as of December 31, 2023, 2024 and 2025, respectively. A third-party valuation firm was engaged to help the management determine the fair value of the two reporting units by applying income approach. Significant assumptions in estimating the fair value of reporting units included revenues remaining flat and discount rates of 17% in projection period. In order to assess the impact of changes in certain significant assumptions, which could materially affect the determination of the fair value of each reporting unit, the Group also performed a sensitivity analysis by decreasing the revenue growth rates and increasing the discount rates. The analysis still resulted in the fair value of each reporting unit exceeding the carrying value by a sufficient amount. The Group further reconciled its estimated fair value of reporting units to its market capitalization and considered that the two reporting units’ carrying value would still be lower after a reasonable control premium is applied to the market capitalization. Therefore, the Group concluded that there was no impairment of goodwill as of December 31, 2023, 2024 and 2025, respectively.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Group’s intangible assets arising from acquisitions: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Borders>
              <w:bottom w:val="single" w:sz="8" w:color="auto"/>
            </w:tcBorders>
            <w:gridSpan w:val="8"/>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Pr>
          <w:p>
            <w:pPr>
              <w:spacing w:after="0"/>
              <w:rPr>
                <w:sz w:val="16"/>
                <w:szCs w:val="16"/>
                <w:color w:val="auto"/>
              </w:rPr>
            </w:pPr>
          </w:p>
        </w:tc>
        <w:tc>
          <w:tcPr>
            <w:tcW w:w="264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1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Cost</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Net</w:t>
            </w: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Cost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Net</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84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US$ thousands)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1"/>
              </w:rPr>
              <w:t>(In</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7"/>
              </w:rPr>
              <w:t>US$ thousands)</w:t>
            </w:r>
          </w:p>
        </w:tc>
        <w:tc>
          <w:tcPr>
            <w:tcW w:w="1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 related</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$ 132,762</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76,606</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$ 138,537</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(72,277)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$ 66,260</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and domain name</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24,306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$ 191,120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$ 199,433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(103,140)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$ 96,293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amortization expense for the years ended December 31, 2023, 2024 and 2025 was US$19.3 million, US$21.3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US$17.8 million, respectively. As of December 31, 2025, estimated amortization expenses for future periods are expected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 US$</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29"/>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r>
      <w:tr>
        <w:trPr>
          <w:trHeight w:val="22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w:t>
            </w:r>
          </w:p>
        </w:tc>
      </w:tr>
      <w:tr>
        <w:trPr>
          <w:trHeight w:val="230"/>
        </w:trPr>
        <w:tc>
          <w:tcPr>
            <w:tcW w:w="8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r>
      <w:tr>
        <w:trPr>
          <w:trHeight w:val="223"/>
        </w:trPr>
        <w:tc>
          <w:tcPr>
            <w:tcW w:w="8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amortization expense *</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96,080</w:t>
            </w:r>
          </w:p>
        </w:tc>
      </w:tr>
      <w:tr>
        <w:trPr>
          <w:trHeight w:val="20"/>
        </w:trPr>
        <w:tc>
          <w:tcPr>
            <w:tcW w:w="2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76"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US$0.2 million of indefinite-lived intangible assets which was included in the category of others.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2023, the Company adopted the 2023 Share Incentive Plan (the “2023 Plan”), which included the sum of 10,000,000 shares and all ordinary shares reserved but unissued as of February 28, 2023 under previous share incentive plan. Each share in the 2023 Plan pool allows for a grant of a restricted share unit or option share. The Company intends to use such share incentive plan to attract and retain employee talents. Stock-based compensation related to the grants is amortized generally over four years on a straight-line basis (generally one year for performance-based restricted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stock-based compensation included in each of the relevant accounts: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8"/>
        </w:trPr>
        <w:tc>
          <w:tcPr>
            <w:tcW w:w="2480" w:type="dxa"/>
            <w:vAlign w:val="bottom"/>
          </w:tcPr>
          <w:p>
            <w:pPr>
              <w:spacing w:after="0"/>
              <w:rPr>
                <w:sz w:val="16"/>
                <w:szCs w:val="16"/>
                <w:color w:val="auto"/>
              </w:rPr>
            </w:pPr>
          </w:p>
        </w:tc>
        <w:tc>
          <w:tcPr>
            <w:tcW w:w="4400" w:type="dxa"/>
            <w:vAlign w:val="bottom"/>
          </w:tcPr>
          <w:p>
            <w:pPr>
              <w:ind w:left="4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24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US$ thousands)</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22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r>
      <w:tr>
        <w:trPr>
          <w:trHeight w:val="229"/>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w:t>
            </w:r>
          </w:p>
        </w:tc>
      </w:tr>
      <w:tr>
        <w:trPr>
          <w:trHeight w:val="223"/>
        </w:trPr>
        <w:tc>
          <w:tcPr>
            <w:tcW w:w="2480" w:type="dxa"/>
            <w:vAlign w:val="bottom"/>
            <w:tcBorders>
              <w:bottom w:val="single" w:sz="8" w:color="CCEEFF"/>
            </w:tcBorders>
            <w:shd w:val="clear" w:color="auto" w:fill="CCEEFF"/>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42,067</w:t>
            </w:r>
          </w:p>
        </w:tc>
      </w:tr>
      <w:tr>
        <w:trPr>
          <w:trHeight w:val="20"/>
        </w:trPr>
        <w:tc>
          <w:tcPr>
            <w:tcW w:w="24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90" w:lineRule="exact"/>
        <w:rPr>
          <w:sz w:val="20"/>
          <w:szCs w:val="20"/>
          <w:color w:val="auto"/>
        </w:rPr>
      </w:pPr>
    </w:p>
    <w:p>
      <w:pPr>
        <w:ind w:left="660" w:hanging="652"/>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non-cash stock-based compensation of US$8.1 million, US$6.8 million and US$5.0 million to SINA employees charged through Amount due from SINA for the years ended 2023, 2024 and 2025, respectively.</w:t>
      </w:r>
    </w:p>
    <w:p>
      <w:pPr>
        <w:spacing w:after="0" w:line="18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summary of the number of shares available for issuance: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6100" w:type="dxa"/>
            <w:vAlign w:val="bottom"/>
          </w:tcPr>
          <w:p>
            <w:pPr>
              <w:ind w:left="59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8"/>
        </w:trPr>
        <w:tc>
          <w:tcPr>
            <w:tcW w:w="24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 w:type="dxa"/>
            <w:vAlign w:val="bottom"/>
          </w:tcPr>
          <w:p>
            <w:pPr>
              <w:spacing w:after="0"/>
              <w:rPr>
                <w:sz w:val="19"/>
                <w:szCs w:val="19"/>
                <w:color w:val="auto"/>
              </w:rPr>
            </w:pPr>
          </w:p>
        </w:tc>
      </w:tr>
      <w:tr>
        <w:trPr>
          <w:trHeight w:val="229"/>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0" w:type="dxa"/>
            <w:vAlign w:val="bottom"/>
          </w:tcPr>
          <w:p>
            <w:pPr>
              <w:spacing w:after="0"/>
              <w:rPr>
                <w:sz w:val="19"/>
                <w:szCs w:val="19"/>
                <w:color w:val="auto"/>
              </w:rPr>
            </w:pPr>
          </w:p>
        </w:tc>
      </w:tr>
      <w:tr>
        <w:trPr>
          <w:trHeight w:val="230"/>
        </w:trPr>
        <w:tc>
          <w:tcPr>
            <w:tcW w:w="8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19"/>
                <w:szCs w:val="19"/>
                <w:color w:val="auto"/>
              </w:rPr>
            </w:pPr>
          </w:p>
        </w:tc>
      </w:tr>
      <w:tr>
        <w:trPr>
          <w:trHeight w:val="223"/>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0" w:type="dxa"/>
            <w:vAlign w:val="bottom"/>
          </w:tcPr>
          <w:p>
            <w:pPr>
              <w:spacing w:after="0"/>
              <w:rPr>
                <w:sz w:val="19"/>
                <w:szCs w:val="19"/>
                <w:color w:val="auto"/>
              </w:rPr>
            </w:pPr>
          </w:p>
        </w:tc>
      </w:tr>
      <w:tr>
        <w:trPr>
          <w:trHeight w:val="230"/>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r>
      <w:tr>
        <w:trPr>
          <w:trHeight w:val="229"/>
        </w:trPr>
        <w:tc>
          <w:tcPr>
            <w:tcW w:w="8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9"/>
                <w:szCs w:val="19"/>
                <w:color w:val="auto"/>
              </w:rPr>
            </w:pPr>
          </w:p>
        </w:tc>
      </w:tr>
      <w:tr>
        <w:trPr>
          <w:trHeight w:val="223"/>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20" w:type="dxa"/>
            <w:vAlign w:val="bottom"/>
          </w:tcPr>
          <w:p>
            <w:pPr>
              <w:spacing w:after="0"/>
              <w:rPr>
                <w:sz w:val="19"/>
                <w:szCs w:val="19"/>
                <w:color w:val="auto"/>
              </w:rPr>
            </w:pPr>
          </w:p>
        </w:tc>
      </w:tr>
      <w:tr>
        <w:trPr>
          <w:trHeight w:val="230"/>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Pr>
          <w:p>
            <w:pPr>
              <w:spacing w:after="0"/>
              <w:rPr>
                <w:sz w:val="19"/>
                <w:szCs w:val="19"/>
                <w:color w:val="auto"/>
              </w:rPr>
            </w:pPr>
          </w:p>
        </w:tc>
      </w:tr>
      <w:tr>
        <w:trPr>
          <w:trHeight w:val="230"/>
        </w:trPr>
        <w:tc>
          <w:tcPr>
            <w:tcW w:w="8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0" w:type="dxa"/>
            <w:vAlign w:val="bottom"/>
          </w:tcPr>
          <w:p>
            <w:pPr>
              <w:spacing w:after="0"/>
              <w:rPr>
                <w:sz w:val="19"/>
                <w:szCs w:val="19"/>
                <w:color w:val="auto"/>
              </w:rPr>
            </w:pPr>
          </w:p>
        </w:tc>
      </w:tr>
      <w:tr>
        <w:trPr>
          <w:trHeight w:val="223"/>
        </w:trPr>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6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265" w:lineRule="exact"/>
        <w:rPr>
          <w:sz w:val="20"/>
          <w:szCs w:val="20"/>
          <w:color w:val="auto"/>
        </w:rPr>
      </w:pPr>
    </w:p>
    <w:p>
      <w:pPr>
        <w:ind w:left="660" w:hanging="652"/>
        <w:spacing w:after="0" w:line="266" w:lineRule="auto"/>
        <w:tabs>
          <w:tab w:leader="none" w:pos="40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1.8 million, 0.1 million and 0.2 million restricted share units were granted, respectively. Options of 2.2 million, 0.1 million and 2.5 million were granted during the years ended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option activities under the Company’s stock option program: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Weighted Average</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4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Cancelled/expired/forfeited</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total intrinsic value of options exercised for the years ended December 31, 2023, 2024 and 2025 was nil, US$0.6 million and US$1.6 million, respectively. The intrinsic value is calculated as the difference between the market value on the date of exercise and the exercise price of the shares. As reported by the NASDAQ Global Selected Market, the Company’s ending stock price as of December 31, 2024 and 2025 was US$9.55 and US$10.22, respectively. Cash received from the exercise of stock options during the years ended December 31, 2023, 2024 and 2025 was nil, US$0.4 million and US $0.8 million, respectively. As of December 31, 2024 and 2025, unrecognized compensation cost (adjusted for estimated forfeitures), related to non-vested stock options granted to the Company’s employees and directors was US$19.4 million and US$19.6 million, respectively. As of December 31, 2025, total unrecognized compensation cost is expected to be recognized over a weighted-average period of 2.6 years and may be adjusted for future changes in estimated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(Continued)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stock options outstanding is summarized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Outstanding</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Exercise Price   </w:t>
            </w: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88"/>
        </w:trPr>
        <w:tc>
          <w:tcPr>
            <w:tcW w:w="2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US$)</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US$)</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US$ 32.68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US$ 21.15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US$ 0.01-US$ 3.87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3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US$ 32.68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US$ 21.15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US$ 0.01-US$ 3.87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during the years ended December 31, 2023, 2024 and 2025 is estimated on the measurement date using the Black-Scholes model by applying the assumptions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4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51"/>
        </w:trPr>
        <w:tc>
          <w:tcPr>
            <w:tcW w:w="6420" w:type="dxa"/>
            <w:vAlign w:val="bottom"/>
          </w:tcPr>
          <w:p>
            <w:pPr>
              <w:spacing w:after="0"/>
              <w:rPr>
                <w:sz w:val="13"/>
                <w:szCs w:val="13"/>
                <w:color w:val="auto"/>
              </w:rPr>
            </w:pPr>
          </w:p>
        </w:tc>
        <w:tc>
          <w:tcPr>
            <w:tcW w:w="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4"/>
        </w:trPr>
        <w:tc>
          <w:tcPr>
            <w:tcW w:w="6420" w:type="dxa"/>
            <w:vAlign w:val="bottom"/>
          </w:tcPr>
          <w:p>
            <w:pPr>
              <w:ind w:left="63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r>
      <w:tr>
        <w:trPr>
          <w:trHeight w:val="23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ordinary shares (US$)</w:t>
            </w:r>
          </w:p>
        </w:tc>
        <w:tc>
          <w:tcPr>
            <w:tcW w:w="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11.51-13.1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4.85-5.67</w:t>
            </w:r>
          </w:p>
        </w:tc>
        <w:tc>
          <w:tcPr>
            <w:tcW w:w="160" w:type="dxa"/>
            <w:vAlign w:val="bottom"/>
            <w:tcBorders>
              <w:top w:val="single" w:sz="8" w:color="CCEEFF"/>
            </w:tcBorders>
            <w:shd w:val="clear" w:color="auto" w:fill="CCEEFF"/>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54.77%-55.77 %</w:t>
            </w:r>
          </w:p>
        </w:tc>
        <w:tc>
          <w:tcPr>
            <w:tcW w:w="120" w:type="dxa"/>
            <w:vAlign w:val="bottom"/>
          </w:tcPr>
          <w:p>
            <w:pPr>
              <w:spacing w:after="0"/>
              <w:rPr>
                <w:sz w:val="19"/>
                <w:szCs w:val="19"/>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55.25 %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52.78%-53.77 %</w:t>
            </w: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4.42%-4.82 %</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3.90 %</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3.69%-4.07 %</w:t>
            </w: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7.53%-7.97 %</w:t>
            </w:r>
          </w:p>
        </w:tc>
      </w:t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9"/>
                <w:szCs w:val="19"/>
                <w:color w:val="auto"/>
              </w:rPr>
            </w:pPr>
          </w:p>
        </w:tc>
      </w:tr>
    </w:tbl>
    <w:p>
      <w:pPr>
        <w:spacing w:after="0" w:line="21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expected volatility is assumed based on the historical volatility of the Company in the period equal to the expected life of each grant. The risk-free interest rate is based on the yields of United States Treasury securities with maturities similar to the expected life of the options in effect on the measurement date. The expected term of options is based on management’s estimate on timing of exercise of options.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Performance-Based Restricted Share Units with Market Condition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performance-based restricted share unit activities with market condition: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16"/>
                <w:szCs w:val="16"/>
                <w:color w:val="auto"/>
              </w:rPr>
            </w:pPr>
          </w:p>
        </w:tc>
        <w:tc>
          <w:tcPr>
            <w:tcW w:w="4160" w:type="dxa"/>
            <w:vAlign w:val="bottom"/>
            <w:gridSpan w:val="3"/>
          </w:tcPr>
          <w:p>
            <w:pPr>
              <w:ind w:left="2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US$)</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9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9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29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4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9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29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4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unrecognized compensation cost (adjusted for estimated forfeitures) was both nil, which was related to non-vested performance-based restricted share units with market condition granted to the Company’s management. No share was vested during the year ended December 31, 2023, 2024 and 2025,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(Continued)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Service-Based Restricted Share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service-based restricted share unit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7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770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5"/>
        </w:trPr>
        <w:tc>
          <w:tcPr>
            <w:tcW w:w="7700" w:type="dxa"/>
            <w:vAlign w:val="bottom"/>
          </w:tcPr>
          <w:p>
            <w:pPr>
              <w:ind w:left="75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8"/>
        </w:trPr>
        <w:tc>
          <w:tcPr>
            <w:tcW w:w="770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US$)</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23"/>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23"/>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23"/>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and 2025, unrecognized compensation cost (adjusted for estimated forfeitures) was US$29.6 million and US$2.9 million, respectively, which was related to non-vested service-based restricted share units granted to the Company’s employees and directors. As of December 31, 2024 and 2025, this cost is expected to be recognized over a weighted-average period of 0.9 years and 2.1 years, respectively. The total fair value based on the grant date of the restricted share units vested was US$94.3 million, US$66.1 million and US$47.5 million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Balance Sheets Components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left="302"/>
              <w:spacing w:after="0"/>
              <w:rPr>
                <w:sz w:val="20"/>
                <w:szCs w:val="20"/>
                <w:color w:val="auto"/>
              </w:rPr>
            </w:pPr>
            <w:r>
              <w:rPr>
                <w:rFonts w:ascii="Times New Roman" w:cs="Times New Roman" w:eastAsia="Times New Roman" w:hAnsi="Times New Roman"/>
                <w:sz w:val="12"/>
                <w:szCs w:val="12"/>
                <w:b w:val="1"/>
                <w:bCs w:val="1"/>
                <w:color w:val="auto"/>
                <w:w w:val="96"/>
              </w:rPr>
              <w:t>As of December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2"/>
                <w:szCs w:val="12"/>
                <w:color w:val="auto"/>
              </w:rPr>
            </w:pPr>
          </w:p>
        </w:tc>
        <w:tc>
          <w:tcPr>
            <w:tcW w:w="20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(In US$ thousands)</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Accounts receivable, net:</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Due from third parties</w:t>
            </w:r>
          </w:p>
        </w:tc>
        <w:tc>
          <w:tcPr>
            <w:tcW w:w="204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277,370</w:t>
            </w:r>
          </w:p>
        </w:tc>
        <w:tc>
          <w:tcPr>
            <w:tcW w:w="40" w:type="dxa"/>
            <w:vAlign w:val="bottom"/>
          </w:tcPr>
          <w:p>
            <w:pPr>
              <w:spacing w:after="0"/>
              <w:rPr>
                <w:sz w:val="12"/>
                <w:szCs w:val="12"/>
                <w:color w:val="auto"/>
              </w:rPr>
            </w:pPr>
          </w:p>
        </w:tc>
        <w:tc>
          <w:tcPr>
            <w:tcW w:w="560" w:type="dxa"/>
            <w:vAlign w:val="bottom"/>
            <w:gridSpan w:val="2"/>
          </w:tcPr>
          <w:p>
            <w:pPr>
              <w:jc w:val="right"/>
              <w:ind w:right="2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Due from Alibaba</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43,495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Due from other related parties</w:t>
            </w:r>
          </w:p>
        </w:tc>
        <w:tc>
          <w:tcPr>
            <w:tcW w:w="1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39,589</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gridSpan w:val="2"/>
            <w:shd w:val="clear" w:color="auto" w:fill="CCEEFF"/>
          </w:tcPr>
          <w:p>
            <w:pPr>
              <w:ind w:left="200"/>
              <w:spacing w:after="0" w:line="136" w:lineRule="exact"/>
              <w:rPr>
                <w:sz w:val="20"/>
                <w:szCs w:val="20"/>
                <w:color w:val="auto"/>
              </w:rPr>
            </w:pPr>
            <w:r>
              <w:rPr>
                <w:rFonts w:ascii="Times New Roman" w:cs="Times New Roman" w:eastAsia="Times New Roman" w:hAnsi="Times New Roman"/>
                <w:sz w:val="12"/>
                <w:szCs w:val="12"/>
                <w:color w:val="auto"/>
              </w:rPr>
              <w:t>Total gross amount</w:t>
            </w:r>
          </w:p>
        </w:tc>
        <w:tc>
          <w:tcPr>
            <w:tcW w:w="18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360,454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415,989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Balance at the beginning of the year</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(54,557)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(Additional provision charged to) reversal of expenses, net</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(6,462)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Write-off</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39,966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2"/>
                <w:szCs w:val="12"/>
                <w:color w:val="auto"/>
              </w:rPr>
              <w:t>Receipt of previous write-off</w:t>
            </w:r>
            <w:r>
              <w:rPr>
                <w:rFonts w:ascii="Times New Roman" w:cs="Times New Roman" w:eastAsia="Times New Roman" w:hAnsi="Times New Roman"/>
                <w:sz w:val="17"/>
                <w:szCs w:val="17"/>
                <w:color w:val="auto"/>
                <w:vertAlign w:val="superscript"/>
              </w:rPr>
              <w:t>(1)</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1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gridSpan w:val="2"/>
            <w:shd w:val="clear" w:color="auto" w:fill="CCEEFF"/>
          </w:tcPr>
          <w:p>
            <w:pPr>
              <w:ind w:left="200"/>
              <w:spacing w:after="0" w:line="136" w:lineRule="exact"/>
              <w:rPr>
                <w:sz w:val="20"/>
                <w:szCs w:val="20"/>
                <w:color w:val="auto"/>
              </w:rPr>
            </w:pPr>
            <w:r>
              <w:rPr>
                <w:rFonts w:ascii="Times New Roman" w:cs="Times New Roman" w:eastAsia="Times New Roman" w:hAnsi="Times New Roman"/>
                <w:sz w:val="12"/>
                <w:szCs w:val="12"/>
                <w:color w:val="auto"/>
              </w:rPr>
              <w:t>Balance at the end of the year</w:t>
            </w:r>
          </w:p>
        </w:tc>
        <w:tc>
          <w:tcPr>
            <w:tcW w:w="18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339,754</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400,209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Prepaid expenses and other current assets: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Rental and other deposits</w:t>
            </w:r>
          </w:p>
        </w:tc>
        <w:tc>
          <w:tcPr>
            <w:tcW w:w="20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Deductible value-added taxes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Investment prepayment</w:t>
            </w:r>
            <w:r>
              <w:rPr>
                <w:rFonts w:ascii="Times New Roman" w:cs="Times New Roman" w:eastAsia="Times New Roman" w:hAnsi="Times New Roman"/>
                <w:sz w:val="17"/>
                <w:szCs w:val="17"/>
                <w:color w:val="auto"/>
                <w:vertAlign w:val="superscript"/>
              </w:rPr>
              <w:t>(2)</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37,269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2"/>
                <w:szCs w:val="12"/>
                <w:color w:val="auto"/>
              </w:rPr>
              <w:t>Loans to and interest receivable from other related parties</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(Note 10)</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Loans to and interest receivable from third parties</w:t>
            </w:r>
            <w:r>
              <w:rPr>
                <w:rFonts w:ascii="Times New Roman" w:cs="Times New Roman" w:eastAsia="Times New Roman" w:hAnsi="Times New Roman"/>
                <w:sz w:val="17"/>
                <w:szCs w:val="17"/>
                <w:color w:val="auto"/>
                <w:vertAlign w:val="superscript"/>
              </w:rPr>
              <w:t>(3)</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127,983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Advertising prepayment</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Prepayment to outsourced service providers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2"/>
                <w:szCs w:val="12"/>
                <w:color w:val="auto"/>
              </w:rPr>
              <w:t>Amounts deposited by users</w:t>
            </w:r>
            <w:r>
              <w:rPr>
                <w:rFonts w:ascii="Times New Roman" w:cs="Times New Roman" w:eastAsia="Times New Roman" w:hAnsi="Times New Roman"/>
                <w:sz w:val="17"/>
                <w:szCs w:val="17"/>
                <w:color w:val="auto"/>
                <w:vertAlign w:val="superscript"/>
              </w:rPr>
              <w:t>(4)</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Content fees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8,754</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348,774</w:t>
            </w: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Office building</w:t>
            </w:r>
          </w:p>
        </w:tc>
        <w:tc>
          <w:tcPr>
            <w:tcW w:w="204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185,478</w:t>
            </w:r>
          </w:p>
        </w:tc>
        <w:tc>
          <w:tcPr>
            <w:tcW w:w="40" w:type="dxa"/>
            <w:vAlign w:val="bottom"/>
          </w:tcPr>
          <w:p>
            <w:pPr>
              <w:spacing w:after="0"/>
              <w:rPr>
                <w:sz w:val="12"/>
                <w:szCs w:val="12"/>
                <w:color w:val="auto"/>
              </w:rPr>
            </w:pPr>
          </w:p>
        </w:tc>
        <w:tc>
          <w:tcPr>
            <w:tcW w:w="560" w:type="dxa"/>
            <w:vAlign w:val="bottom"/>
            <w:gridSpan w:val="2"/>
          </w:tcPr>
          <w:p>
            <w:pPr>
              <w:jc w:val="right"/>
              <w:ind w:right="2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Office building related facilities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Computers and equipment</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221,600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246,067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Leasehold improvements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Furniture and fixtures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8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18,737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auto"/>
              </w:rPr>
              <w:t>Property and equipment, gross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449,530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542,007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(234,496)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215,034</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282,442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Other non-current assets</w:t>
            </w:r>
          </w:p>
        </w:tc>
        <w:tc>
          <w:tcPr>
            <w:tcW w:w="1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2"/>
                <w:szCs w:val="12"/>
                <w:color w:val="auto"/>
              </w:rPr>
              <w:t>Investment-related deposits</w:t>
            </w:r>
            <w:r>
              <w:rPr>
                <w:rFonts w:ascii="Times New Roman" w:cs="Times New Roman" w:eastAsia="Times New Roman" w:hAnsi="Times New Roman"/>
                <w:sz w:val="17"/>
                <w:szCs w:val="17"/>
                <w:color w:val="auto"/>
                <w:vertAlign w:val="superscript"/>
              </w:rPr>
              <w:t>(2) (5)</w:t>
            </w:r>
          </w:p>
        </w:tc>
        <w:tc>
          <w:tcPr>
            <w:tcW w:w="204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124,713</w:t>
            </w:r>
          </w:p>
        </w:tc>
        <w:tc>
          <w:tcPr>
            <w:tcW w:w="40" w:type="dxa"/>
            <w:vAlign w:val="bottom"/>
          </w:tcPr>
          <w:p>
            <w:pPr>
              <w:spacing w:after="0"/>
              <w:rPr>
                <w:sz w:val="12"/>
                <w:szCs w:val="12"/>
                <w:color w:val="auto"/>
              </w:rPr>
            </w:pPr>
          </w:p>
        </w:tc>
        <w:tc>
          <w:tcPr>
            <w:tcW w:w="560" w:type="dxa"/>
            <w:vAlign w:val="bottom"/>
            <w:gridSpan w:val="2"/>
          </w:tcPr>
          <w:p>
            <w:pPr>
              <w:jc w:val="right"/>
              <w:ind w:right="2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Loans to and interest receivable from other related parties</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(Note 10)</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358,485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Deferred tax assets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39,967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Long-term wealth management products</w:t>
            </w:r>
            <w:r>
              <w:rPr>
                <w:rFonts w:ascii="Times New Roman" w:cs="Times New Roman" w:eastAsia="Times New Roman" w:hAnsi="Times New Roman"/>
                <w:sz w:val="17"/>
                <w:szCs w:val="17"/>
                <w:color w:val="auto"/>
                <w:vertAlign w:val="superscript"/>
              </w:rPr>
              <w:t>(6)</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397,222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620,459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61,377</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981,764</w:t>
            </w: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1,149,274</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Accrued and other liabilities</w:t>
            </w:r>
            <w:r>
              <w:rPr>
                <w:rFonts w:ascii="Times New Roman" w:cs="Times New Roman" w:eastAsia="Times New Roman" w:hAnsi="Times New Roman"/>
                <w:sz w:val="17"/>
                <w:szCs w:val="17"/>
                <w:b w:val="1"/>
                <w:bCs w:val="1"/>
                <w:color w:val="auto"/>
                <w:vertAlign w:val="superscript"/>
              </w:rPr>
              <w:t>(7)</w:t>
            </w:r>
            <w:r>
              <w:rPr>
                <w:rFonts w:ascii="Times New Roman" w:cs="Times New Roman" w:eastAsia="Times New Roman" w:hAnsi="Times New Roman"/>
                <w:sz w:val="12"/>
                <w:szCs w:val="12"/>
                <w:b w:val="1"/>
                <w:bCs w:val="1"/>
                <w:color w:val="auto"/>
              </w:rPr>
              <w:t>:</w:t>
            </w: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0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Payroll and welfare</w:t>
            </w:r>
          </w:p>
        </w:tc>
        <w:tc>
          <w:tcPr>
            <w:tcW w:w="20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164,368</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Marketing expenses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53,194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rebates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256,220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222,209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Professional fees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VAT and other tax payable</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62,104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2"/>
                <w:szCs w:val="12"/>
                <w:color w:val="auto"/>
              </w:rPr>
              <w:t>Amounts due to users</w:t>
            </w:r>
            <w:r>
              <w:rPr>
                <w:rFonts w:ascii="Times New Roman" w:cs="Times New Roman" w:eastAsia="Times New Roman" w:hAnsi="Times New Roman"/>
                <w:sz w:val="17"/>
                <w:szCs w:val="17"/>
                <w:color w:val="auto"/>
                <w:vertAlign w:val="superscript"/>
              </w:rPr>
              <w:t>(4)</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Unpaid consideration for investment</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Proceeds received in advance from disposal of investment</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payable for convertible senior notes, unsecured senior notes and long-term loans</w:t>
            </w:r>
          </w:p>
        </w:tc>
        <w:tc>
          <w:tcPr>
            <w:tcW w:w="1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33,596</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640,207</w:t>
            </w: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34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2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the collection of accounts receivable which had been previously recognized as bad debt expenses and written off in the past period.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prepayment of US$35.1 million and investment-related deposits of US$72.4 million as of December 31, 2024 was transferred to long-term investments measured under equity method in 2025.</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and interest receivable from related parties and third parties incurred for the years ended December 31, 2024 and 2025 were non-trade in nature.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Balance Sheets Components (Continued)</w:t>
      </w:r>
    </w:p>
    <w:p>
      <w:pPr>
        <w:spacing w:after="0" w:line="189" w:lineRule="exact"/>
        <w:rPr>
          <w:sz w:val="20"/>
          <w:szCs w:val="20"/>
          <w:color w:val="auto"/>
        </w:rPr>
      </w:pPr>
    </w:p>
    <w:p>
      <w:pPr>
        <w:jc w:val="both"/>
        <w:ind w:left="660" w:hanging="652"/>
        <w:spacing w:after="0" w:line="253"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Weibo wallet enables users to conduct interest-generation activities on Weibo, such as handing out “red envelopes” and coupons to users and purchase different types of products and services on Weibo, including those offered by the Group, such as marketing services and membership, and those offered by Weibo’s platform partners, such as e-commerce merchandises, financial products and virtual gifts. Amounts deposited by users primarily represent the receivable temporarily held in Weibo’s account on a third-party online payment platform for Weibo wallet users. Amounts due to users represent the balances that are payable on demand to Weibo wallet users and therefore are reflected as current liability on the consolidated balance sheets.</w:t>
      </w:r>
    </w:p>
    <w:p>
      <w:pPr>
        <w:spacing w:after="0" w:line="14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Investment-related deposits primarily included deposit made for equity interest in a holding company over a commercial property amounted to US$87.6 million as of December 31, 2024.</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long-term wealth management products recorded at fair value (Note 14) or amortized cost according to the respective contracts.</w:t>
      </w:r>
    </w:p>
    <w:p>
      <w:pPr>
        <w:spacing w:after="0" w:line="1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amounts due to third parties, employees, related parties (Note 10) and Weibo wallet users.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registered in the Cayman Islands and mainly operates in two taxable jurisdictions—the PRC and Hong Kong.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income before income taxes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gridSpan w:val="9"/>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(In US$ thousands, except percentage)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non-China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(145,244)</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(148,862)</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China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648,026</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569,517</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606,672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before income tax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502,782</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420,655</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605,596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expenses applicable to non-China operations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applicable to China operations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110,550</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 for China operations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gridSpan w:val="2"/>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gridSpan w:val="2"/>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for the Group</w:t>
            </w:r>
          </w:p>
        </w:tc>
        <w:tc>
          <w:tcPr>
            <w:tcW w:w="240" w:type="dxa"/>
            <w:vAlign w:val="bottom"/>
          </w:tcPr>
          <w:p>
            <w:pPr>
              <w:spacing w:after="0"/>
              <w:rPr>
                <w:sz w:val="20"/>
                <w:szCs w:val="20"/>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28.9 %</w:t>
            </w:r>
          </w:p>
        </w:tc>
        <w:tc>
          <w:tcPr>
            <w:tcW w:w="220" w:type="dxa"/>
            <w:vAlign w:val="bottom"/>
          </w:tcPr>
          <w:p>
            <w:pPr>
              <w:spacing w:after="0"/>
              <w:rPr>
                <w:sz w:val="20"/>
                <w:szCs w:val="20"/>
                <w:color w:val="auto"/>
              </w:rPr>
            </w:pPr>
          </w:p>
        </w:tc>
        <w:tc>
          <w:tcPr>
            <w:tcW w:w="11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26.3 %</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Group generated the majority of its operating income from PRC operations and has recorded income tax provision for the periods presented. The Group’s loss from non-China operations primarily included stock-based compensation, fair value changes through earnings on investments, investment-related impairment and provision and interest expenses recorded by the Group’s non-China entities. The substantial majority of these items were recognized by the Group’s non-China entities in the Cayman Islands. For the years ended December 31, 2023, 2024 and 2025, the Group’s non-China operations mainly recognized US$43.7 million, US$22.1 million and US$41.9 million of withholding tax in connection with the earnings of the WFOE and the Group’s other WFOE entities, which have been and are expected to be remitted to Weibo HK to fund the demand for U.S. dollars in business operations and potential investments, etc.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current tax laws of the Cayman Islands, the Company is not subject to tax on income or capital gain. In addition, upon payments of dividends by the Company to its shareholders, no Cayman Islands withholding tax is required.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Weibo HK is subject to 16.5% Hong Kong profit tax on its taxable income generated from operations in Hong Kong. Commencing from the year of assessment 2018/2019, the first HK$2 million of profits earned by entities incorporated in Hong Kong will be taxed at half the current tax rate (i.e., 8.25%) while the remaining profits will continue to be taxed at the existing 16.5% tax rate. Hong Kong does not impose a withholding tax on dividends. For the years ended December 31, 2024 and 2025, Weibo HK recorded income tax expenses of US$22.1 million and US$43.6 million, respectively, including withholding taxes accrued related to earnings of the Group’s WFOE entities.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89" w:lineRule="exact"/>
        <w:rPr>
          <w:sz w:val="20"/>
          <w:szCs w:val="20"/>
          <w:color w:val="auto"/>
        </w:rPr>
      </w:pPr>
    </w:p>
    <w:p>
      <w:pPr>
        <w:jc w:val="both"/>
        <w:ind w:firstLine="596"/>
        <w:spacing w:after="0" w:line="252" w:lineRule="auto"/>
        <w:rPr>
          <w:sz w:val="20"/>
          <w:szCs w:val="20"/>
          <w:color w:val="auto"/>
        </w:rPr>
      </w:pPr>
      <w:r>
        <w:rPr>
          <w:rFonts w:ascii="Times New Roman" w:cs="Times New Roman" w:eastAsia="Times New Roman" w:hAnsi="Times New Roman"/>
          <w:sz w:val="18"/>
          <w:szCs w:val="18"/>
          <w:color w:val="auto"/>
        </w:rPr>
        <w:t>Effective January 1, 2008, the Enterprise Income Tax Law (the “EIT Law”) in China unifies the enterprise income tax rate for the entities incorporated in China at 25%, unless they are eligible for preferential tax treatment. Preferential tax treatments will be granted to companies conducting businesses in certain encouraged sectors and to entities qualified as “software enterprise”, “key software enterprise” (“KSE”) and/or “high and new technology enterprise” (“HNTE”). Weibo Technology, the Group’s WFOE, was granted the HNTE status for the fiscal years from 2020 to 2025, which entitled the qualified entity a preferential tax rate of 15% in 2023, 2024 and 2025. Its qualification as an HNTE is subject to annual evaluation and a three-year review by the relevant authorities in China. Upon the expiration of qualification, re-accreditation of certification from the relevant authorities is necessary for Weibo Technology to continue enjoying the preferential tax treatment. In addition, a few of the Group’s other PRC entities are also qualified as an HNTE, and currently enjoy the respective preferential tax treatments.</w:t>
      </w:r>
    </w:p>
    <w:p>
      <w:pPr>
        <w:spacing w:after="0" w:line="1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relevant laws and regulations in the PRC, enterprises engaging in research and development activities were entitled to claim 150% of their research and development expenses incurred as tax deductible expenses when determining their assessable profits for that year (the “R&amp;D Deduction”). The State Taxation Administration of the PRC (“STA”) announced in September 2018 that enterprises engaging in research and development activities would be entitled to claim 175% of their research and development expenses as R&amp;D Deduction from January 1, 2018 to December 31, 2020. The deadline for enjoying this preferential R&amp;D deduction policy was extended to December 31, 2023 as announced in March 2021 by STA. In March 2023, the STA announced that enterprises engaging in research and development activities would be entitled to claim 200% of their research and development expenses as R&amp;D Deduction since January 1, 2023.</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be considered a resident enterprise for PRC tax purposes. However, due to limited guidance and implementation history of the EIT Law, should Weibo be treated as a resident enterprise for PRC tax purposes, the Company will be subject to PRC tax on worldwide income at a uniform tax rate of 25%.</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EIT Law also imposes a withholding income tax rate of 10% on dividends distributed by a WFOE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Mainland China and Hong Kong Special Administrative Region on the Avoidance of Double Taxation and Prevention of Fiscal Evasion in August 2006 and subsequent amendments, dividends paid by a WFOE in China to its immediate holding company in Hong Kong will be subject to withholding tax at a rate of no more than 5% (if the foreign investor owns directly at least 25% of the shares of the WFOE).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(Continued)</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The operations of the Group’s WFOE entities in China are substantially invested and held by Weibo HK. If the Company is regarded as a PRC non-resident enterprise and Weibo HK is regarded as a PRC resident enterprise, Weibo HK may be required to pay a 10% withholding tax on any dividends payable to the Company. Under such circumstances, if Weibo HK is deemed to be a “PRC resident enterprise”, the dividends distributed from Weibo Technology and its other WFOE entities to Weibo HK is not subject to dividend withholding tax. Also, Weibo HK would be subject to PRC enterprise income tax on at a rate of 25%. If the Company and Weibo HK is regarded as a PRC non-resident enterprise and subject to specific conditions, Weibo Technology and Weibo HK’s other WFOE entities may be allowed to pay a 5% withholding tax for any dividends payable to Weibo HK. For the years ended December 31, 2023 and 2024, Weibo HK accrued withholding tax of US$43.7 million, and US$22.1 million on retained earnings generated by Weibo Technology in certain years prior to 2023 and 2023, as well as in 2024, respectively. For the year ended December 31, 2025, the management revisited the Group’s reinvestment plan and expanded the distribution scope from Weibo Technology to all WFOEs under Weibo HK and Weibo HK accrued withholding tax of US$41.9 million in respect of retained earnings generated by Weibo Technology in 2025 and cumulative retained earnings from its other WFOE entities up to 2025. These WFOE entities’ earnings have been and are expected to be remitted to Weibo HK to fund its demand on US dollars in business operations and potential investments, etc. Weibo HK received cash dividend of US$406.1 million and US$401.6 million from Weibo Technology, including withholding tax of US$20.5 million and US$20.1 million in connection with the dividend paid directly to the tax authority for the years ended December 31, 2023 and 2024, respectively. As of December 31, 2024 and December 31, 2025, the Group had a total undistributed PRC earnings of RMB20.3 billion and RMB17.7 billion, respectively, which are expected to be indefinitely reinvested in the Group’s business for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current and deferred portion of income tax expense of the Group: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9"/>
        </w:trPr>
        <w:tc>
          <w:tcPr>
            <w:tcW w:w="6120" w:type="dxa"/>
            <w:vAlign w:val="bottom"/>
          </w:tcPr>
          <w:p>
            <w:pPr>
              <w:ind w:left="59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(In US$ thousands)</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121,249</w:t>
            </w:r>
          </w:p>
        </w:tc>
        <w:tc>
          <w:tcPr>
            <w:tcW w:w="5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5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88,647</w:t>
            </w:r>
          </w:p>
        </w:tc>
      </w:tr>
      <w:tr>
        <w:trPr>
          <w:trHeight w:val="23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55,874</w:t>
            </w:r>
          </w:p>
        </w:tc>
      </w:tr>
      <w:tr>
        <w:trPr>
          <w:trHeight w:val="223"/>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145,287</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144,521</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PRC statutory tax rate to the effective tax rate for the Group</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reconciliation between the PRC statutory EIT rate of 25% and the effective tax rate for the Group:</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8"/>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24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23"/>
        </w:trPr>
        <w:tc>
          <w:tcPr>
            <w:tcW w:w="546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PRC Statutory EIT rate</w:t>
            </w:r>
            <w:r>
              <w:rPr>
                <w:rFonts w:ascii="Times New Roman" w:cs="Times New Roman" w:eastAsia="Times New Roman" w:hAnsi="Times New Roman"/>
                <w:sz w:val="25"/>
                <w:szCs w:val="25"/>
                <w:color w:val="auto"/>
                <w:vertAlign w:val="superscript"/>
              </w:rPr>
              <w:t>(1)</w:t>
            </w:r>
          </w:p>
        </w:tc>
        <w:tc>
          <w:tcPr>
            <w:tcW w:w="1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Borders>
              <w:top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top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tax holiday and preferential tax treatment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5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expenses and non-taxable income and others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5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PRC withholding tax</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19"/>
                <w:szCs w:val="19"/>
                <w:color w:val="auto"/>
              </w:rPr>
            </w:pPr>
          </w:p>
        </w:tc>
        <w:tc>
          <w:tcPr>
            <w:tcW w:w="15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difference from statutory rate in other jurisdictions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9.0 %</w:t>
            </w: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for the Group</w:t>
            </w:r>
          </w:p>
        </w:tc>
        <w:tc>
          <w:tcPr>
            <w:tcW w:w="1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08"/>
        </w:trPr>
        <w:tc>
          <w:tcPr>
            <w:tcW w:w="2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8"/>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88"/>
        </w:trPr>
        <w:tc>
          <w:tcPr>
            <w:tcW w:w="24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 US$ thousands, except percentages)</w:t>
            </w:r>
          </w:p>
        </w:tc>
        <w:tc>
          <w:tcPr>
            <w:tcW w:w="260" w:type="dxa"/>
            <w:vAlign w:val="bottom"/>
          </w:tcPr>
          <w:p>
            <w:pPr>
              <w:spacing w:after="0"/>
              <w:rPr>
                <w:sz w:val="16"/>
                <w:szCs w:val="16"/>
                <w:color w:val="auto"/>
              </w:rPr>
            </w:pPr>
          </w:p>
        </w:tc>
      </w:tr>
      <w:tr>
        <w:trPr>
          <w:trHeight w:val="229"/>
        </w:trPr>
        <w:tc>
          <w:tcPr>
            <w:tcW w:w="54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PRC Statutory EIT rate</w:t>
            </w:r>
            <w:r>
              <w:rPr>
                <w:rFonts w:ascii="Times New Roman" w:cs="Times New Roman" w:eastAsia="Times New Roman" w:hAnsi="Times New Roman"/>
                <w:sz w:val="26"/>
                <w:szCs w:val="26"/>
                <w:color w:val="auto"/>
                <w:vertAlign w:val="superscript"/>
              </w:rPr>
              <w:t>(1)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151,399</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Cayman</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(12,915)</w:t>
            </w:r>
          </w:p>
        </w:tc>
        <w:tc>
          <w:tcPr>
            <w:tcW w:w="80" w:type="dxa"/>
            <w:vAlign w:val="bottom"/>
          </w:tcPr>
          <w:p>
            <w:pPr>
              <w:spacing w:after="0"/>
              <w:rPr>
                <w:sz w:val="19"/>
                <w:szCs w:val="19"/>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on tax holiday and preferential tax treatment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(37,011)</w:t>
            </w:r>
          </w:p>
        </w:tc>
        <w:tc>
          <w:tcPr>
            <w:tcW w:w="80" w:type="dxa"/>
            <w:vAlign w:val="bottom"/>
          </w:tcPr>
          <w:p>
            <w:pPr>
              <w:spacing w:after="0"/>
              <w:rPr>
                <w:sz w:val="19"/>
                <w:szCs w:val="19"/>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(18,172)</w:t>
            </w: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Investment-related gain</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(6,608)</w:t>
            </w:r>
          </w:p>
        </w:tc>
        <w:tc>
          <w:tcPr>
            <w:tcW w:w="80" w:type="dxa"/>
            <w:vAlign w:val="bottom"/>
          </w:tcPr>
          <w:p>
            <w:pPr>
              <w:spacing w:after="0"/>
              <w:rPr>
                <w:sz w:val="19"/>
                <w:szCs w:val="19"/>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PRC withholding tax</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5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for the Group</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5"/>
                <w:szCs w:val="5"/>
                <w:color w:val="auto"/>
              </w:rPr>
            </w:pPr>
          </w:p>
        </w:tc>
        <w:tc>
          <w:tcPr>
            <w:tcW w:w="29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r>
    </w:tbl>
    <w:p>
      <w:pPr>
        <w:spacing w:after="0" w:line="49"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statutory income tax rate is used for the reconciliation as the majority of the Group’s operations are based in the PRC.</w:t>
      </w:r>
    </w:p>
    <w:p>
      <w:pPr>
        <w:spacing w:after="0" w:line="2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provision for income taxes for China operations for the years ended December 31, 2023, 2024 and 2025 differs from the amounts computed by applying the statutory EIT rate primarily due to the preferential tax treatments described above enjoyed by the WFOE, Weibo Technology, during the periods presented. Weibo Technology enjoyed a tax reduction of US$42.2 million, US$38.0 million and US$30.9 million for the HNTE status in 2023, 2024 and 2025, respectively. Furthermore, the WFOE and other qualified entities in the Group recognized tax benefits of research and development super-deduction of US$22.2 million, US$22.3 million and US$18.2 million in 2023, 2024 and 2025, respectively. If the Group assessed that the benefits were more-likely-than-not to be sustained in the corresponding year, it would accordingly recognize the tax benefits. The aggregate preferential tax treatments benefited by the Group during the three-year period ended December 31, 2025 amounting to US$48.0 million, US$46.3 million and US$37.0 million, resulted in an effect of US$0.20, US$0.20 and US$0.15 on basic net income per share in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deferred tax assets and liabilities for the Group:</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7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53,713</w:t>
            </w:r>
          </w:p>
        </w:tc>
        <w:tc>
          <w:tcPr>
            <w:tcW w:w="40" w:type="dxa"/>
            <w:vAlign w:val="bottom"/>
          </w:tcPr>
          <w:p>
            <w:pPr>
              <w:spacing w:after="0"/>
              <w:rPr>
                <w:sz w:val="19"/>
                <w:szCs w:val="19"/>
                <w:color w:val="auto"/>
              </w:rPr>
            </w:pP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Investment-related impairment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accounts receivable, accrued and other liabilities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(147,678)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39,967</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investment-related gain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tax</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(i) future reversals of existing taxable temporary differences; (ii) future taxable income exclusive of reversing temporary differences and carry forwards; and (iii) tax planning strategies. The valuation allowance on deferred tax assets as of December 31, 2024 and 2025 was US$147.7 million and US $154.0 million, respectively. The valuation allowance primarily relates to credit loss and investment impairment charges, as well as net operating loss carry forwards for the accumulated losses incurred by certain subsidiaries in the Group. Historically, deferred tax assets were valued using the tax rate applicable to each entity for China operations. Net operating loss carry forwards for China operations as of December 31, 2025 will expire, if unused, in the years ending December 31, 2026 through December 31, 2030.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for the lag recognition of preferential tax treatment of stock based related deduction, the Group did not record any liability or decrease in deferred tax asset related to uncertain tax positions as of December 31, 2024 and 2025, and thus, no interest and penalties related to uncertain tax positions were recorded.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the PRC tax authorities have up to five years to review a company’s tax filings. Accordingly, tax filings of the Company’s PRC subsidiaries and VIEs for tax years 2021 through 2025 remain subject to the review by the relevant PRC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significant related parties and their relationships with the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3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Relationship with the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SINA</w:t>
            </w:r>
          </w:p>
        </w:tc>
        <w:tc>
          <w:tcPr>
            <w:tcW w:w="340" w:type="dxa"/>
            <w:vAlign w:val="bottom"/>
            <w:tcBorders>
              <w:top w:val="single" w:sz="8" w:color="CCEEFF"/>
            </w:tcBorders>
            <w:shd w:val="clear" w:color="auto" w:fill="CCEEFF"/>
          </w:tcPr>
          <w:p>
            <w:pPr>
              <w:spacing w:after="0"/>
              <w:rPr>
                <w:sz w:val="19"/>
                <w:szCs w:val="19"/>
                <w:color w:val="auto"/>
              </w:rPr>
            </w:pPr>
          </w:p>
        </w:tc>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and affiliates under common control.</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Alibaba</w:t>
            </w:r>
          </w:p>
        </w:tc>
        <w:tc>
          <w:tcPr>
            <w:tcW w:w="340" w:type="dxa"/>
            <w:vAlign w:val="bottom"/>
            <w:shd w:val="clear" w:color="auto" w:fill="CCEEFF"/>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partner and significant shareholder of the Company.</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entered in to a series of one-year loan agreements with SINA pursuant to which SINA is entitled to borrow from the Group to facilitate SINA’s business operations. SINA has withdrawn a total of US$1,105.7 million, US$966.6 million and US$753.0 million from the Group and repaid US$1,071.1 million, US$970.9 million and US$773.5 million to the Group during the years ended December 31, 2023, 2024 and 2025, respectively. As of December 31, 2024 and 2025, the loans to and interest receivable from SINA were US$417.7 million and US$401.9 million,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significant related party transactions with the Group: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8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US$ thousands)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7"/>
              </w:rPr>
              <w:t>Transactions with SINA</w:t>
            </w:r>
          </w:p>
        </w:tc>
        <w:tc>
          <w:tcPr>
            <w:tcW w:w="514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billed through SINA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 provided to SINA</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0" w:type="dxa"/>
            <w:vAlign w:val="bottom"/>
          </w:tcPr>
          <w:p>
            <w:pPr>
              <w:spacing w:after="0"/>
              <w:rPr>
                <w:sz w:val="1"/>
                <w:szCs w:val="1"/>
                <w:color w:val="auto"/>
              </w:rPr>
            </w:pPr>
          </w:p>
        </w:tc>
      </w:tr>
      <w:tr>
        <w:trPr>
          <w:trHeight w:val="263"/>
        </w:trPr>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66,810</w:t>
            </w:r>
          </w:p>
        </w:tc>
        <w:tc>
          <w:tcPr>
            <w:tcW w:w="2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46,630</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Costs and expenses allocated from SINA</w:t>
            </w:r>
            <w:r>
              <w:rPr>
                <w:rFonts w:ascii="Times New Roman" w:cs="Times New Roman" w:eastAsia="Times New Roman" w:hAnsi="Times New Roman"/>
                <w:sz w:val="26"/>
                <w:szCs w:val="26"/>
                <w:color w:val="auto"/>
                <w:vertAlign w:val="superscript"/>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loans to SINA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Transactions with Alibaba</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70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Advertising and marketing revenues from Alibaba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116,785</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provided by Alibaba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660" w:hanging="652"/>
        <w:spacing w:after="0" w:line="253"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allocated from SINA represented the charges for certain services provided by SINA or SINA’s affiliates and charged to the Group using actual cost allocation based on proportional utilization (Note 1). In addition to the allocated costs and expenses, SINA also billed US$24.9 million,US $38.5 million and US$25.5 million for other costs and expenses incurred by Weibo but paid by SINA for the years ended December 31, 2023, 2024 and 2025, respectively. During the years ended December 31, 2023, 2024 and 2025, Weibo allocated US$9.9 million, US$8.6 million and US$8.1 million to SINA for costs and expenses related to certain of SINA’s activities for which Weibo made the payments, respectively.</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details of the revenues from SINA by advertising and marketing revenues and value-added services revenues for the periods specified.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US$ thousands)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7"/>
              </w:rPr>
              <w:t>Transactions with SINA</w:t>
            </w:r>
          </w:p>
        </w:tc>
        <w:tc>
          <w:tcPr>
            <w:tcW w:w="30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and marketing revenues</w:t>
            </w:r>
          </w:p>
        </w:tc>
        <w:tc>
          <w:tcPr>
            <w:tcW w:w="2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45,319</w:t>
            </w:r>
          </w:p>
        </w:tc>
        <w:tc>
          <w:tcPr>
            <w:tcW w:w="3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25,022</w:t>
            </w:r>
          </w:p>
        </w:tc>
        <w:tc>
          <w:tcPr>
            <w:tcW w:w="42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services revenues</w:t>
            </w:r>
          </w:p>
        </w:tc>
        <w:tc>
          <w:tcPr>
            <w:tcW w:w="22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21,491</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21,608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w:t>
            </w: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66,810</w:t>
            </w:r>
          </w:p>
        </w:tc>
        <w:tc>
          <w:tcPr>
            <w:tcW w:w="200" w:type="dxa"/>
            <w:vAlign w:val="bottom"/>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46,630</w:t>
            </w:r>
          </w:p>
        </w:tc>
        <w:tc>
          <w:tcPr>
            <w:tcW w:w="220" w:type="dxa"/>
            <w:vAlign w:val="bottom"/>
            <w:gridSpan w:val="2"/>
          </w:tcPr>
          <w:p>
            <w:pPr>
              <w:spacing w:after="0"/>
              <w:rPr>
                <w:sz w:val="19"/>
                <w:szCs w:val="19"/>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related party outstanding balance: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Pr>
          <w:p>
            <w:pPr>
              <w:ind w:left="50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US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Amount due from SINA</w:t>
            </w:r>
            <w:r>
              <w:rPr>
                <w:rFonts w:ascii="Times New Roman" w:cs="Times New Roman" w:eastAsia="Times New Roman" w:hAnsi="Times New Roman"/>
                <w:sz w:val="26"/>
                <w:szCs w:val="26"/>
                <w:color w:val="auto"/>
                <w:vertAlign w:val="superscript"/>
              </w:rPr>
              <w:t>(2)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452,769</w:t>
            </w:r>
          </w:p>
        </w:tc>
        <w:tc>
          <w:tcPr>
            <w:tcW w:w="4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due from Alibaba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43,495</w:t>
            </w:r>
          </w:p>
        </w:tc>
        <w:tc>
          <w:tcPr>
            <w:tcW w:w="4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Loans to and interest receivable from other related parties</w:t>
            </w:r>
            <w:r>
              <w:rPr>
                <w:rFonts w:ascii="Times New Roman" w:cs="Times New Roman" w:eastAsia="Times New Roman" w:hAnsi="Times New Roman"/>
                <w:sz w:val="26"/>
                <w:szCs w:val="26"/>
                <w:color w:val="auto"/>
                <w:vertAlign w:val="superscript"/>
              </w:rPr>
              <w:t>(3) (4)</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A (an investee providing online brokerage services)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w:t>
            </w:r>
          </w:p>
        </w:tc>
        <w:tc>
          <w:tcPr>
            <w:tcW w:w="4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 (included in 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B (an investee in real estate business)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358,485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 (included in 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358,485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446,985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660" w:hanging="652"/>
        <w:spacing w:after="0" w:line="253"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uses amount due from/to SINA to settle balances arising from costs and expenses allocated from SINA based on proportional utilization, other expenditures incurred by Weibo business but paid by SINA, transactions with third-party customers and suppliers settled through SINA, as well as business transactions between Weibo and SINA. As of December 31, 2024 and 2025, the amount due from SINA also included loans to and interest receivable from SINA of US$417.7 million and US$401.9 million at an annual interest rate ranging from 1% to 4% of maturity within one year, respectively, which are non-trade in nature.</w:t>
      </w:r>
    </w:p>
    <w:p>
      <w:pPr>
        <w:spacing w:after="0" w:line="189"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rates of the loans were ranging from 1.0% to 6.0% as of December 31, 2025. These balances are non-trade in nature. The contractual terms of the loans were up to 5 years while subject to extension and the Group will determine the liquidity (current versus non-current) of the loans pursuant to the expected cash collection.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estimates the allowance for credit losses on loans and interest receivables not sharing similar risk characteristic on an individual basis. The key factors considered when determining the above allowances for credit losses include the fair value of the assets held by the borrowers. For the years ended December 31, 2023, 2024 and 2025, the Group reversed US$2.1 million, recognized US$1.5 million and nil credit losses on loans to and interest receivable from other related parties based on the expected collection schedule of these loans, respectively.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related parties mainly include investee companies on which SINA or Weibo has significant influence. These investees are generally high-tech companies operating in different internet-related business. For the years ended December 31, 2023, 2024 and 2025, the Group recognized US$32.7 million, US$41.8 million and US$24.2 million of advertising and marketing revenues, US$2.7 million, US$3.3 million and US$3.2 million of value-added services revenues, and US$33.9 million, US$32.8 million and US$31.6 million of costs and expenses from other related parties, respectively. As of December 31, 2024 and 2025, other related parties accounted for outstanding balances of net accounts receivable of US$39.6 million and US$39.7 million, accounts payable of US$25.0 million and US$30.8 million, and accrued and other liabilities of US$5.6 million and US$5.3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Contribution Plan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subsidiaries, VIEs and VIEs’ subsidiaries in China participate in a government-mandated, multi-employer, defined contribution plan, pursuant to which certain retirement, medical, housing and other welfare benefits are provided to employees. Chinese labor laws require the entities incorporated in China to pay to the local labor and welfare authorities a monthly contribution at a stated contribution rate based on the monthly basic compensation of qualified employees. The local labor bureau is responsible for meeting all retirement benefit obligations. The Group has no further commitments beyond its monthly contribution. For the years ended December 31, 2023, 2024 and 2025, the Group’s total contribution was US$79.5 million, US$80.4 million and US$84.4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the ordinary shares outstanding during the period. Options and RSUs are not considered outstanding in the computation of basic earnings per share (“EPS”). Diluted EPS is computed using the weighted average number of ordinary shares and potential ordinary shares outstanding during the period under the treasury stock method. For the years ended December 31, 2023, 2024 and 2025, options to purchase ordinary shares and RSUs of 2.6 million, 2.2 million and 1.1 million were recognized as dilutive factors and included in the calculation of diluted net income per share, respectively. For the years ended December 31, 2023, 2024 and 2025, options and RSUs which were anti-dilutive and excluded from the calculation of diluted net income per share were 7.4 million, 10.9 million and 4.6 million,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US$ thousands, except share data and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calculation:</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Weibo’s shareholders</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300,801</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ordinary shares outstanding</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238,787</w:t>
            </w:r>
          </w:p>
        </w:tc>
        <w:tc>
          <w:tcPr>
            <w:tcW w:w="0" w:type="dxa"/>
            <w:vAlign w:val="bottom"/>
          </w:tcPr>
          <w:p>
            <w:pPr>
              <w:spacing w:after="0"/>
              <w:rPr>
                <w:sz w:val="1"/>
                <w:szCs w:val="1"/>
                <w:color w:val="auto"/>
              </w:rPr>
            </w:pPr>
          </w:p>
        </w:tc>
      </w:tr>
      <w:tr>
        <w:trPr>
          <w:trHeight w:val="26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Weibo’s shareholders</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calculation: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Weibo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342,598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300,801</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Effect on interest expenses and amortized issuance cost of convertible senior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Net income attributable to Weibo’s shareholders for calculating diluted net income</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343,127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308,514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ordinary shares outstanding</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Effects of dilutive securities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Unvested restricted share units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Shares used in computing diluted net income per share attributable to Weibo’s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239,974</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265,241</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Weibo’s shareholders</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F-46</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Profit Appropriation and Restricted Net Assets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subsidiaries, VIEs and VIEs’ subsidiaries in China are required to make appropriations to certain non-distributable reserve funds, in accordance with the China Company Laws. They have to make appropriations from their after-tax profit (as determined under Generally Accepted Accounting Principles in the PRC (“PRC GAAP”)) to non-distributable reserve funds including (i) statutory surplus fund, and (ii) discretionary surplus fund. Statutory surplus fund is at least 10% of the after-tax profits calculated in accordance with the PRC GAAP. Appropriation is not required if the reserve fund has reached 50% of the registered capital of the respective company.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Statutory surplus fund is restricted for set off against losses, expansion of production and operation or increase in registered capital of the respective companies. These reserves are not transferable to the Company in the form of cash dividends, loans or advances. These reserves are therefore not available for distribution except in liquidation.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Group’s PRC subsidiaries accrued approximately US$139.0 million and US$145.9 million in the general reserve/statutory surplus funds,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PRC laws and regulations, the subsidiaries, VIEs and VIEs’ subsidiaries incorporated in the PRC are restricted in their ability to transfer a portion of their net assets to the Group either in the form of dividends, loans or advances of the consolidated net assets. The amounts restricted for the Group amounted to US$728.3 million, or 18.2% of the Group’s total consolidated net assets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assets measured at fair value on a recurring basis, the respective fair value and the classification by level of input within the fair value hierarchy as of December 31, 2024 and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3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Quoted Prices in</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Active Market</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(In US</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Wealth management products, short term </w:t>
            </w:r>
            <w:r>
              <w:rPr>
                <w:rFonts w:ascii="Times New Roman" w:cs="Times New Roman" w:eastAsia="Times New Roman" w:hAnsi="Times New Roman"/>
                <w:sz w:val="26"/>
                <w:szCs w:val="26"/>
                <w:color w:val="auto"/>
                <w:vertAlign w:val="superscript"/>
              </w:rPr>
              <w:t>(1)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Wealth management products, long term </w:t>
            </w:r>
            <w:r>
              <w:rPr>
                <w:rFonts w:ascii="Times New Roman" w:cs="Times New Roman" w:eastAsia="Times New Roman" w:hAnsi="Times New Roman"/>
                <w:sz w:val="26"/>
                <w:szCs w:val="26"/>
                <w:color w:val="auto"/>
                <w:vertAlign w:val="superscript"/>
              </w:rPr>
              <w:t>(2)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with readily determinable market value </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401,525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264,693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Wealth management products, short term </w:t>
            </w:r>
            <w:r>
              <w:rPr>
                <w:rFonts w:ascii="Times New Roman" w:cs="Times New Roman" w:eastAsia="Times New Roman" w:hAnsi="Times New Roman"/>
                <w:sz w:val="26"/>
                <w:szCs w:val="26"/>
                <w:color w:val="auto"/>
                <w:vertAlign w:val="superscript"/>
              </w:rPr>
              <w:t>(1)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76,917</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Wealth management products, long term </w:t>
            </w:r>
            <w:r>
              <w:rPr>
                <w:rFonts w:ascii="Times New Roman" w:cs="Times New Roman" w:eastAsia="Times New Roman" w:hAnsi="Times New Roman"/>
                <w:sz w:val="26"/>
                <w:szCs w:val="26"/>
                <w:color w:val="auto"/>
                <w:vertAlign w:val="superscript"/>
              </w:rPr>
              <w:t>(2)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with readily determinable market value </w:t>
            </w:r>
            <w:r>
              <w:rPr>
                <w:rFonts w:ascii="Times New Roman" w:cs="Times New Roman" w:eastAsia="Times New Roman" w:hAnsi="Times New Roman"/>
                <w:sz w:val="26"/>
                <w:szCs w:val="26"/>
                <w:color w:val="auto"/>
                <w:vertAlign w:val="superscript"/>
              </w:rPr>
              <w:t>(3)</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436,251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278,161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short-term investments on the Group’s consolidated balance sheets.</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non-current assets on the Group’s consolidated balance sheets.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long-term investments on the Group’s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measures short-term and long-term wealth management products, and equity securities with readily determinable fair values at fair value on a recurring basis. The fair values of the Group’s equity securities with readily determinable fair values are determined based on the quoted market price (Level 1). The fair values of the Group’s short-term and long-term wealth management products are determined based on the quoted market price for similar products (Level 2). The Group recorded US$ 32.1 million, US$18.6 million and US$21.3 million fair value change gain for equity securities with readily determinable fair values for the year ended December 31, 2023, 2024 and 2025,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those equity investments without readily determinable fair value, the Group measures them at market value when observable price changes are identified or impairment charges are recognized. The market values of the Group’s privately held investments as disclosed are determined based on the discounted cash flow model using the discount curve of market interest rates or based on the similar transaction price in the market directly. The Group classifies the valuation techniques on those investments that use similar identifiable transaction prices as Level 2 of fair value measurements. The Group measures equity method investments at fair value on a non-recurring basis only if an impairment charge is recognized.</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privately held investments were measured using significant unobservable inputs (Level 3) and written down from their respective carrying values to fair values, considering the investees’ financial performance, assumptions about future growth, and future financing plan, with impairment charges incurred and recorded in earnings for the period then ended. For the years ended December 31, 2023, 2024 and 2025, US$25.7 million, US$38.7 million and US$6.0 million impairment charges were recorded for those equity investments without readily determinable fair values, which was reflected in investment - related impairment and provision mentioned in Note 4 and nil, US$6.6 million and US$19.7 million impairment charges were recorded for equity method investment, which was reflected in the income (loss) from equity method investments on consolidated statement of comprehensive income. As of December 31, 2024 and 2025, the carrying value of these impaired investments measured at Level 3 inputs were US$22.2 million and US $96.9 million, respectively. The fair value of the privately held investments was measured either based on discounted cash flow with unobservable inputs including the discount curve of market interest rates and financial projections, or based on market approach with unobservable inputs including the selection of comparable public peer companies and multiples.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Group’s non-financial assets, such as intangible assets, goodwill, fixed assets and operating lease assets, are measured at fair value only if they were determined to be impaired. In accordance with the Group’s policy to perform an impairment assessment of its goodwill on an annual basis as of the balance sheets date or when facts and circumstances warrant a review, the Group performed an impairment assessment on its goodwill by reporting unit at least annually. The Group recognized no impairment charge of goodwill arising from previous acquisitions for the years ended December 31, 2023, 2024 and 2025, respectively.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of cash and cash equivalents, short-term investments, accounts receivable due from third parties, accounts receivable due from Alibaba, accounts receivable due from other related parties, amount due from SINA, accounts payable, accrued and other liabilities approximates fair values because of their short-term nature.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Group determines the fair value of its unsecured senior notes using quoted prices in less active markets, and accordingly the Group categorizes the unsecured senior notes and convertible senior notes as Level 2 in the fair value hierarchy. The fair value of unsecured senior notes amounted to US$671.3 million and US$712.5 million as of December 31, 2024 and 2025, respectively. The fair value of convertible senior notes amounted to US$362.8 million and US$383.0 million as of December 31, 2024 and 2025,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Convertible Senior Notes, Unsecured Senior Notes and Long-term Loans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Senior Notes due 2024</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2019, the Company issued US$800 million in aggregate principal amount of unsecured senior notes due on July 5, 2024 (“2024 Senior Notes”), unless previously repurchased or redeemed in accordance with the terms prior to maturity. The 2024 Senior Notes were issued at par value and bear an annual interest rate of 3.50%, payable semiannually in arrears on January 5 and July 5 of each year, beginning on January 5, 2020. The net proceeds to the Company from the issuance of the 2024 Senior Notes were US $793.3 million, net of issuance cost of US$6.7 million. The issuance costs of the 2024 Senior Notes are being amortized to interest expenses over the contractual life. The 2024 Senior Notes related interest expenses were US$29.3 million and US$14.8 million for the years ended December 31, 2023 and 2024, respectively. The Company has repaid all outstanding principal amount and accrued interest expenses of 2024 Senior Notes in July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Convertible Senior Notes, Unsecured Senior Notes and Long-term Loans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Senior Notes due 2030</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2020, the Company issued US$750 million in aggregate principal amount of unsecured senior notes due on July 8, 2030 (“2030 Senior Notes”), unless previously repurchased or redeemed in accordance with the terms prior to maturity. The 2030 Senior Notes bear an annual interest rate of 3.375%, payable semiannually in arrears on January 8 and July 8 of each year, beginning on January 8, 2021. The net proceeds to the Company from the issuance of the 2030 Notes were US$740.3 million, net of issuance cost of US$9.7 million. The issuance costs of the 2030 Senior Notes are being amortized to interest expenses over the contractual life. For each year of the three-year period ended December 31, 2025, the Group recognized US$26.3 million interest expenses from the 2030 Notes annually.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revolving facilities agreement due 2027</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22, 2022, the Company signed a five-year US$1.2 billion term and revolving facilities agreement with a group of 23 arrangers. The facilities consist of a US$900 million five-year bullet maturity term loan and a US$300 million five-year revolving facility. The term and revolving loans under this facility are priced at 128 basis points over Term SOFR (the applicable reference rate). As of December 31, 2025, the Company has fully withdrawn the US$900 million bullet maturity term loan, and repaid US$100 million bullet maturity term loan in the fourth quarter of 2023. The Company has also repaid the US$5 million borrowed previously under revolving facility in the third quarter of 2025 and subsequently cancelled the revolving facility. The Company used the proceeds from the term loan to refinance of existing indebtedness, general corporate purposes and payment of transaction related fees and expenses. For the years ended December 31, 2023, 2024 and 2025, the Group recognized US$63.9 million, US$56.6 million and US$48.5 million interest expenses from the 2027 Loans,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2030</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2023, the Company issued US$330 million in aggregate principal amount of 1.375% coupon interest convertible senior notes due on December 1, 2030 (“2030 Convertible Notes”) at par. The net proceeds received by the Company from the issuance of the 2030 Convertible Notes were approximately US$317.4 million, net of issuance cost of US$12.6 million. The Company pays cash interest at an annual rate of 1.375%, payable semiannually in arrears on June 1 and December 1 of each year, beginning June 1, 2024. The holders may require the Company to repurchase all or part of the notes for cash on December 6, 2027 at a repurchase price equal to 100% of the principal amount of the notes to be repurchased, plus accrued and unpaid interest to, but excluding, the repurchase date. The issuance cost related to the notes was recorded in the consolidated balance sheet as a direct deduction from the principal amount of the notes, and amortized over the period from December 4, 2023, the date of issuance, to December 6, 2027, the first put date of the notes, using the effective interest method. For the years ended December 31, 2023, 2024 and 2025, the interest expenses related to 2030 Convertible Notes were US$0.5 million, US$7.7 million and US$7.7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Lending Agreement in connection with Convertible Senior Notes due 2030</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the offering of the 2030 Convertible Notes, the Company entered into an ADS lending agreement with an affiliate of the initial purchaser of the 2030 Convertible Notes (the “ADS Borrower”), pursuant to which the Company lent to the ADS Borrower 6,233,785 ADSs (the “Borrowed ADSs”) for loan processing fees of $0.00025 per Borrowed ADS (“ADS lending arrangement”). The purpose of the ADS lending arrangement is to facilitate short sales and/or privately negotiated derivative transactions by which some investors in the 2030 Convertible Notes may hedge their exposure to the 2030 Convertible Notes. As of December 31, 2025, the outstanding number of the Borrowed ADSs was 6,233,785.</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terms of the ADS lending agreement, the Borrowed ADSs must generally be returned to the Company as soon as practicable after the termination of the ADS lending facility and in any event no later than the twenty-fifth trading day following the earliest of (a) the date on which the Company notifies the ADS Borrower in writing of its intention to terminate the ADS lending agreement at any time after the date on which the entire principal amount of the 2030 Convertible Notes ceases to be outstanding, whether as a result of conversion, repurchase, redemption, cancellation or otherwise, and (b) the date on which the ADS Lending Agreement terminates in accordance with its terms. The Company is not required to make any payment to the initial purchaser or the ADS Borrower upon the return of the Borrowed ADSs.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Convertible Senior Notes, Unsecured Senior Notes and Long-term Loans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Lending Agreement in connection with Convertible Senior Notes due 2030 (Continued)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collateral is required to be posted for the Borrowed ADSs. The ADS Borrower is required to remit to the Company any dividends paid to the holders of the Borrowed ADSs (net of any fees, costs or tax withholdings and deductions). The ADS Borrower is not entitled to vote on the Borrowed ADSs.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815-40 and ASC 470-20, the Company has accounted for the ADS lending arrangement as equity, initially measured at fair value and recognized it as an issuance cost associated with the 2030 Convertible Notes. As a result, additional issuance cost of US$2 million was recorded on the issuance date with a corresponding increase to additional paid-in-capital. This issuance cost has also been amortized from the date of issuance to the put date of notes, using the effective interest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commitments include the commitments under the lease agreements for the Group’s office premises. The Group leases its office facilities under non-cancelable operating leases with various expiration dates. For the years ended December 31, 2023, 2024 and 2025, the Group recorded US$19.5 million, US$18.5 million and US$18.4 million lease expenses, respectively. Based on the current rental lease agreements, future minimum lease payments commitments as of December 31, 2025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One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One to</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to</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Operating lease commitments</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Three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Five Years</w:t>
            </w:r>
          </w:p>
        </w:tc>
      </w:tr>
      <w:tr>
        <w:trPr>
          <w:trHeight w:val="188"/>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52,352</w:t>
            </w:r>
          </w:p>
        </w:tc>
        <w:tc>
          <w:tcPr>
            <w:tcW w:w="4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w:t>
            </w: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Purchase commitments mainly include minimum commitments for marketing activities and internet connection. Purchase commitments as of December 31, 2025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One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One to</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to</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Purchase commitments</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Three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Five Years</w:t>
            </w:r>
          </w:p>
        </w:tc>
      </w:tr>
      <w:tr>
        <w:trPr>
          <w:trHeight w:val="187"/>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612,132</w:t>
            </w:r>
          </w:p>
        </w:tc>
        <w:tc>
          <w:tcPr>
            <w:tcW w:w="4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526,404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63,053</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commitments as of December 31,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One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One to</w:t>
            </w:r>
          </w:p>
        </w:tc>
        <w:tc>
          <w:tcPr>
            <w:tcW w:w="140" w:type="dxa"/>
            <w:vAlign w:val="bottom"/>
          </w:tcPr>
          <w:p>
            <w:pPr>
              <w:spacing w:after="0"/>
              <w:rPr>
                <w:sz w:val="16"/>
                <w:szCs w:val="16"/>
                <w:color w:val="auto"/>
              </w:rPr>
            </w:pPr>
          </w:p>
        </w:tc>
        <w:tc>
          <w:tcPr>
            <w:tcW w:w="8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to</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commitments</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Three Years   </w:t>
            </w: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3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US$ thousands)</w:t>
            </w: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876,563</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800,625</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Loans</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866,926</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827,206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w:t>
            </w: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2,096,160</w:t>
            </w:r>
          </w:p>
        </w:tc>
        <w:tc>
          <w:tcPr>
            <w:tcW w:w="24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886,906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1,139,684</w:t>
            </w:r>
          </w:p>
        </w:tc>
        <w:tc>
          <w:tcPr>
            <w:tcW w:w="2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2030 Senior Notes represent future maximum commitment relating to the principal amount and interests in connection with the issuance of US$750 million in aggregate principal amount of unsecured senior notes bearing an annual interest rate of 3.375%, which will mature on July 8, 2030. 2027 Loans represent future estimated commitment relating to the principal amount and interests in connection with the issuance of US$900 million term loan (US$100 million repaid in the fourth quarter of 2023) bearing annual rate at 128 basis points over Term SOFR as of December 31, 2025, which will mature on August 22, 2027. 2030 Convertible Notes represent future maximum commitment relating to the principal amount and interests in connection with the issuance of US$330 million in aggregate principal amount of convertible senior notes bearing an annual interest rate of 1.375%, which will mature on December 1, 2030.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 (Continued)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are uncertainties regarding the legal basis of the Group’s ability to operate an Internet business in China. Although China has implemented a wide range of market-oriented economic reforms, the telecommunication, information and media industries remain highly regulated. Not only are such restrictions currently in place, the existing regulations are unclear as to which specific segments of these industries companies with foreign investors, including the Company, may operate. Therefore, the Group may be required to limit the scope of its operations in China, and this could have a material adverse effect on its financial position, results of operations and cash flows.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claims, lawsuits, investigations or proceedings, including unasserted claims that are probable to be assessed, that have in the recent past had, or to the Group’s knowledge, are reasonably possible to have, a material impact on the Group’s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Redeemable Non-controlling Interests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fourth quarter of 2020, the Group entered into a series of share purchase agreements with then existing shareholders of Shanghai Jiamian Information Technology Co., Ltd. (“JM Tech”) to acquire the majority of the company’s equity interest. The Group agreed to redeem the non-controlling interests held by the founder and CEO of the company under certain circumstances during the following years subsequent to the acquisition (“redemption period”). The Group determined that the non-controlling interests with redemption rights should be classified as redeemable non-controlling interests since they are contingently redeemable upon the occurrence of certain conditional events, which are not solely within the control of the Group. The redemption price will be established by applying a predetermined multiple to adjusted earnings and could be higher if the founder and CEO of JM Tech are still under employment during the redemption period. The difference of redemption price caused by whether the founder and CEO are still employed is deemed as compensation cost to the founder and CEO with a credit to redeemable non-controlling interests. For the years ended December 31, 2023, 2024 and 2025, US$11.5 million, US$4.6 million and US$2.8 million of compensation costs were recognized with the founder and CEO’s incumbency, respectively.</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redeemable non-controlling interests are recognized at fair value on the acquisition date. The Group records accretion on the redeemable non-controlling interests to the redemption value over the period from the date of the acquisition to the date of earliest redemption. The accretion using the effective interest method, is recorded as accretion to redeemable non-controlling interests, which reduce retained earnings and equity classified non-controlling interests, and earnings available to common shareholders in calculating basic and diluted earnings per share. The process of adjusting redeemable non-controlling interests to its redemption value should be performed after attribution of the subsidiary’s net income or loss pursuant to ASC 810, Consolidation. The carrying amount of redeemable non-controlling interests will equal the higher of the amount resulting from application of ASC 810 or the amount resulting from the Mezzanine Adjustment. Accretion to redeemable non-controlling interests amounting US$12.8 million, US$6.7 million and US$9.1 million was recorded for the years ended December 31, 2023, 2024 and 2025, respectively.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2025, pursuant to the requirements of the Founder and CEO, the Company repurchased a certain percentage of interests in JM Tech based on the valuation derived from adjusted earnings multiples in accordance with the above share purchase agreement, for considerations of US$33.4 million and US$22.4 million,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Cash Dividend</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2023, the Company’s board of directors approved a special cash dividend of US$0.85 per ordinary share and ADS to holders of its ordinary shares and ADSs as of the close of business on June 26, 2023. The aggregate amount of the special cash dividend was US$200.1 million and paid in July, 2023.</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2024, the Company’s board of directors approved a special cash dividend of US$0.82 per ordinary share and ADS to holders of its ordinary shares and ADSs as of the close of business on April 12, 2024. The aggregate amount of the special cash dividend was US$199.4 million and paid in May 2024. The net special cash dividend paid was US$194.4 million, after the ADS Borrower remitted to the Company the dividends paid to the holders of the Borrowed ADSs.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2025, the Company’s board of directors approved a cash dividend policy (the “Dividend Policy”), under which the Company may choose to declare and distribute a cash dividend each year in accordance with the memorandum and articles of association of the Company and applicable laws and regulations. Under the policy, the Board determines whether to make dividend distributions and the amount of such distributions in any particular year, depending on the Company’s results of operations and earnings, cash flow, financial condition, capital requirements and other relevant considerations that the Board deems relevant.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fiscal year of 2024, the Board declared a cash dividend of US$0.82 per ordinary share, or US$0.82 per ADS to holders of its ordinary shares and ADSs as of the close of business on April 9, 2025. The aggregate amount of the cash dividend was US$200.6 million and paid in May 2025. The net cash dividend paid was US$195.6 million, after the ADS Borrower remitted to the Company the dividends paid to the holders of the Borrowed ADSs.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2026, the Company’s board of directors approved an annual cash dividend for the year ended December 31, 2025 of US$0.61 per ordinary share, or US$0.61 per ADS to holders of its ordinary shares and ADSs, respectively, as of the close of business on April 17, 2026. The payment date is expected to be on or around May 15, 2026 for holders of ordinary shares and on or around May 22, 2026 for holders of ADSs. The aggregate amount of cash dividends to be paid will be approximately US$150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Gaofei Wang, certify that:</w:t>
      </w:r>
    </w:p>
    <w:p>
      <w:pPr>
        <w:spacing w:after="0" w:line="225"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Weibo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Name:Gaofei Wang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b w:val="1"/>
          <w:bCs w:val="1"/>
          <w:color w:val="auto"/>
        </w:rPr>
        <w:t>Exhibit 12.2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Fei Cao, certify that:</w:t>
      </w:r>
    </w:p>
    <w:p>
      <w:pPr>
        <w:spacing w:after="0" w:line="225"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Weibo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Fei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Name:Fei Cao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0"/>
          <w:szCs w:val="20"/>
          <w:b w:val="1"/>
          <w:bCs w:val="1"/>
          <w:color w:val="auto"/>
        </w:rPr>
        <w:t>Exhibit 13.1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Weibo Corporation (the “Company”) on Form 20-F for the fiscal year ended December 31, 2025 as filed with the Securities and Exchange Commission on the date hereof (the “Report”), I, Gaofei Wang,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Name:Gaofei Wang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0"/>
          <w:szCs w:val="20"/>
          <w:b w:val="1"/>
          <w:bCs w:val="1"/>
          <w:color w:val="auto"/>
        </w:rPr>
        <w:t>Exhibit 13.2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Weibo Corporation (the “Company”) on Form 20-F for the fiscal year ended December 31, 2025 as filed with the Securities and Exchange Commission on the date hereof (the “Report”), I, Fei Cao,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Fei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Name:Fei Cao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50" w:name="page251"/>
    <w:bookmarkEnd w:id="250"/>
    <w:p>
      <w:pPr>
        <w:ind w:left="900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3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8"/>
          <w:szCs w:val="18"/>
          <w:color w:val="auto"/>
        </w:rPr>
        <w:t>KKZ/688185-000001/85820103v1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8/F, QIHAO Plaza, No. 8 Xinyuan S. Road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 Beijing 100027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w:t>
      </w:r>
      <w:r>
        <w:rPr>
          <w:rFonts w:ascii="Arial" w:cs="Arial" w:eastAsia="Arial" w:hAnsi="Arial"/>
          <w:sz w:val="18"/>
          <w:szCs w:val="18"/>
          <w:color w:val="auto"/>
        </w:rPr>
        <w:t>’</w:t>
      </w:r>
      <w:r>
        <w:rPr>
          <w:rFonts w:ascii="Times New Roman" w:cs="Times New Roman" w:eastAsia="Times New Roman" w:hAnsi="Times New Roman"/>
          <w:sz w:val="18"/>
          <w:szCs w:val="18"/>
          <w:color w:val="auto"/>
        </w:rPr>
        <w:t>s Republic of China</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Weibo Corporation, an exempted company incorporated with limited liability in the Cayman Islands (the “Company”), in connection with the filing by the Company with the United States Securities and Exchange Commission (the “SEC”) of an annual report on Form 20-F for the year ended 31 December 2025 (the “Annual Report”).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headings “Item 5. Operating and Financial Review and Prospects—Taxation” and “Item 10. Additional Information—B. Memorandum and Articles of Association” in the Annual Report, and we further consent to the incorporation by reference of the summary of our opinions under these headings into the Company’s registration statement on Form S-8 (File No. 333-199022) that was filed on 30 September 2014, pertaining to the Company’s 2010 Share Incentive Plan and 2014 Share Incentive Plan, the Company’s registration statement on Form S-8 (File No. No. 333-228525) that was filed on 23 November 2018 pertaining to the Company’s 2014 Share Incentive Plan, and the Company’s registration statement on Form S-8 (File No. 333-271461) that was filed on 27 April 2023 pertaining to the Company’s 2023 Share Incentive Plan. We also consent to the incorporation by reference of the summary of our opinions under these headings into the Company’s registration statement on Form F-3 (File No. 333-275785) that was filed on 29 November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8/F, QIHAO Plaza, No. 8 Xinyuan S.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hereby consent to references to our name under the heading “Item 3. Key Information—D. Risk Factors—Risks Relating to Our Business,” “Item 3. Key Information—D. Risk Factors—Risks Relating to Our Corporate Structure,” “Item 3. Key Information—D. Risk Factors—Risks Relating to Doing Business in China,” “Item 4. Information on the Company—B. Business Overview—Regulation” and “Item 4. Information on the Company—C. Organizational Structure—Minority Investment in Weimeng” in Weibo Corporation’s annual report on Form 20-F for the year ended December 31, 2025 (the “Annual Report”), and further consent to the incorporation by reference into the Registration Statement (Form S-8 No. 333-199022) pertaining to Weibo Corporation’s 2010 Share Incentive Plan and 2014 Share Incentive Plan, Registration Statement (Form S-8 No. 333-228525) pertaining to Weibo Corporation’s 2014 Share Incentive Plan, and Registration Statement on Form S-8 (File No. 333-271461) pertaining to Weibo Corporation’s 2023 Share Incentive Plan, of the summary of our opinion under the heading “Item 4. Information on the Company—B. Business Overview—Regulation” and “Item 4. Information on the Company—C. Organizational Structure—Contractual Arrangements with the VIEs and Their Respective Individual Shareholders” in the Annual Report. We also consent to the filing of this consent letter with the U.S. Securities and Exchange Commission as an exhibit to the Annual Report. We also consent to the incorporation by reference of the summaries of our opinions that appear in the registration statements on Form F-3 (Nos. 333-261379 and 333-275785).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Kewei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333-271461, 333-228525, and 333-199022) and on Form F-3 (No. 333-275785) of Weibo Corporation of our report dated April 23, 2026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w:t>
      </w:r>
      <w:r>
        <w:rPr>
          <w:rFonts w:ascii="Georgia" w:cs="Georgia" w:eastAsia="Georgia" w:hAnsi="Georgia"/>
          <w:sz w:val="18"/>
          <w:szCs w:val="18"/>
          <w:color w:val="auto"/>
        </w:rPr>
        <w:t>’</w:t>
      </w:r>
      <w:r>
        <w:rPr>
          <w:rFonts w:ascii="Times New Roman" w:cs="Times New Roman" w:eastAsia="Times New Roman" w:hAnsi="Times New Roman"/>
          <w:sz w:val="18"/>
          <w:szCs w:val="18"/>
          <w:color w:val="auto"/>
        </w:rPr>
        <w:t>s Republic of China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1)"/>
      <w:numFmt w:val="decimal"/>
      <w:start w:val="1"/>
    </w:lvl>
  </w:abstractNum>
  <w:abstractNum w:abstractNumId="8">
    <w:nsid w:val="100F8FCA"/>
    <w:multiLevelType w:val="hybridMultilevel"/>
    <w:lvl w:ilvl="0">
      <w:lvlJc w:val="left"/>
      <w:lvlText w:val="%1"/>
      <w:numFmt w:val="decimal"/>
      <w:start w:val="100"/>
    </w:lvl>
  </w:abstractNum>
  <w:abstractNum w:abstractNumId="9">
    <w:nsid w:val="6590700B"/>
    <w:multiLevelType w:val="hybridMultilevel"/>
    <w:lvl w:ilvl="0">
      <w:lvlJc w:val="left"/>
      <w:lvlText w:val="%1"/>
      <w:numFmt w:val="decimal"/>
      <w:start w:val="75"/>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1)"/>
      <w:numFmt w:val="decimal"/>
      <w:start w:val="1"/>
    </w:lvl>
  </w:abstractNum>
  <w:abstractNum w:abstractNumId="13">
    <w:nsid w:val="799D0247"/>
    <w:multiLevelType w:val="hybridMultilevel"/>
    <w:lvl w:ilvl="0">
      <w:lvlJc w:val="left"/>
      <w:lvlText w:val="%1."/>
      <w:numFmt w:val="upperLetter"/>
      <w:start w:val="1"/>
    </w:lvl>
  </w:abstractNum>
  <w:abstractNum w:abstractNumId="14">
    <w:nsid w:val="6B94764"/>
    <w:multiLevelType w:val="hybridMultilevel"/>
    <w:lvl w:ilvl="0">
      <w:lvlJc w:val="left"/>
      <w:lvlText w:val="%1."/>
      <w:numFmt w:val="upperLetter"/>
      <w:start w:val="4"/>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1)"/>
      <w:numFmt w:val="lowerRoman"/>
      <w:start w:val="3"/>
    </w:lvl>
  </w:abstractNum>
  <w:abstractNum w:abstractNumId="48">
    <w:nsid w:val="14E17E33"/>
    <w:multiLevelType w:val="hybridMultilevel"/>
    <w:lvl w:ilvl="0">
      <w:lvlJc w:val="left"/>
      <w:lvlText w:val="(%1)"/>
      <w:numFmt w:val="lowerRoman"/>
      <w:start w:val="3"/>
    </w:lvl>
  </w:abstractNum>
  <w:abstractNum w:abstractNumId="49">
    <w:nsid w:val="3222E7CD"/>
    <w:multiLevelType w:val="hybridMultilevel"/>
    <w:lvl w:ilvl="0">
      <w:lvlJc w:val="left"/>
      <w:lvlText w:val="(%1)"/>
      <w:numFmt w:val="lowerRoman"/>
      <w:start w:val="5"/>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1."/>
      <w:numFmt w:val="upperLetter"/>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1)"/>
      <w:numFmt w:val="decimal"/>
      <w:start w:val="1"/>
    </w:lvl>
  </w:abstractNum>
  <w:abstractNum w:abstractNumId="55">
    <w:nsid w:val="39EE015C"/>
    <w:multiLevelType w:val="hybridMultilevel"/>
    <w:lvl w:ilvl="0">
      <w:lvlJc w:val="left"/>
      <w:lvlText w:val="(%1)"/>
      <w:numFmt w:val="decimal"/>
      <w:start w:val="2"/>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1)"/>
      <w:numFmt w:val="decimal"/>
      <w:start w:val="1"/>
    </w:lvl>
  </w:abstractNum>
  <w:abstractNum w:abstractNumId="63">
    <w:nsid w:val="7055A5F5"/>
    <w:multiLevelType w:val="hybridMultilevel"/>
    <w:lvl w:ilvl="0">
      <w:lvlJc w:val="left"/>
      <w:lvlText w:val="%1."/>
      <w:numFmt w:val="upperLetter"/>
      <w:start w:val="2"/>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1."/>
      <w:numFmt w:val="upperLetter"/>
      <w:start w:val="3"/>
    </w:lvl>
  </w:abstractNum>
  <w:abstractNum w:abstractNumId="67">
    <w:nsid w:val="5FB8011C"/>
    <w:multiLevelType w:val="hybridMultilevel"/>
    <w:lvl w:ilvl="0">
      <w:lvlJc w:val="left"/>
      <w:lvlText w:val="%1."/>
      <w:numFmt w:val="upperLetter"/>
      <w:start w:val="4"/>
    </w:lvl>
  </w:abstractNum>
  <w:abstractNum w:abstractNumId="68">
    <w:nsid w:val="6AA78F7F"/>
    <w:multiLevelType w:val="hybridMultilevel"/>
    <w:lvl w:ilvl="0">
      <w:lvlJc w:val="left"/>
      <w:lvlText w:val="%1."/>
      <w:numFmt w:val="upperLetter"/>
      <w:start w:val="5"/>
    </w:lvl>
  </w:abstractNum>
  <w:abstractNum w:abstractNumId="69">
    <w:nsid w:val="7672BD23"/>
    <w:multiLevelType w:val="hybridMultilevel"/>
    <w:lvl w:ilvl="0">
      <w:lvlJc w:val="left"/>
      <w:lvlText w:val="%1."/>
      <w:numFmt w:val="upperLetter"/>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1."/>
      <w:numFmt w:val="upperLetter"/>
      <w:start w:val="3"/>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1."/>
      <w:numFmt w:val="upperLetter"/>
      <w:start w:val="4"/>
    </w:lvl>
  </w:abstractNum>
  <w:abstractNum w:abstractNumId="76">
    <w:nsid w:val="555C55B5"/>
    <w:multiLevelType w:val="hybridMultilevel"/>
    <w:lvl w:ilvl="0">
      <w:lvlJc w:val="left"/>
      <w:lvlText w:val="%1."/>
      <w:numFmt w:val="upperLetter"/>
      <w:start w:val="5"/>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2"/>
    </w:lvl>
  </w:abstractNum>
  <w:abstractNum w:abstractNumId="82">
    <w:nsid w:val="53299938"/>
    <w:multiLevelType w:val="hybridMultilevel"/>
    <w:lvl w:ilvl="0">
      <w:lvlJc w:val="left"/>
      <w:lvlText w:val="%1."/>
      <w:numFmt w:val="upperLetter"/>
      <w:start w:val="6"/>
    </w:lvl>
  </w:abstractNum>
  <w:abstractNum w:abstractNumId="83">
    <w:nsid w:val="1FBFE8E0"/>
    <w:multiLevelType w:val="hybridMultilevel"/>
    <w:lvl w:ilvl="0">
      <w:lvlJc w:val="left"/>
      <w:lvlText w:val="%1."/>
      <w:numFmt w:val="upperLetter"/>
      <w:start w:val="3"/>
    </w:lvl>
  </w:abstractNum>
  <w:abstractNum w:abstractNumId="84">
    <w:nsid w:val="5092CA79"/>
    <w:multiLevelType w:val="hybridMultilevel"/>
    <w:lvl w:ilvl="0">
      <w:lvlJc w:val="left"/>
      <w:lvlText w:val="%1."/>
      <w:numFmt w:val="upperLetter"/>
      <w:start w:val="1"/>
    </w:lvl>
  </w:abstractNum>
  <w:abstractNum w:abstractNumId="85">
    <w:nsid w:val="1D545C4D"/>
    <w:multiLevelType w:val="hybridMultilevel"/>
    <w:lvl w:ilvl="0">
      <w:lvlJc w:val="left"/>
      <w:lvlText w:val="%1."/>
      <w:numFmt w:val="upperLetter"/>
      <w:start w:val="2"/>
    </w:lvl>
  </w:abstractNum>
  <w:abstractNum w:abstractNumId="86">
    <w:nsid w:val="59ADEA3D"/>
    <w:multiLevelType w:val="hybridMultilevel"/>
    <w:lvl w:ilvl="0">
      <w:lvlJc w:val="left"/>
      <w:lvlText w:val="%1."/>
      <w:numFmt w:val="upperLetter"/>
      <w:start w:val="4"/>
    </w:lvl>
  </w:abstractNum>
  <w:abstractNum w:abstractNumId="87">
    <w:nsid w:val="288F1A34"/>
    <w:multiLevelType w:val="hybridMultilevel"/>
    <w:lvl w:ilvl="0">
      <w:lvlJc w:val="left"/>
      <w:lvlText w:val="%1."/>
      <w:numFmt w:val="upperLetter"/>
      <w:start w:val="6"/>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1)"/>
      <w:numFmt w:val="lowerLetter"/>
      <w:start w:val="1"/>
    </w:lvl>
  </w:abstractNum>
  <w:abstractNum w:abstractNumId="96">
    <w:nsid w:val="23D86AAC"/>
    <w:multiLevelType w:val="hybridMultilevel"/>
    <w:lvl w:ilvl="0">
      <w:lvlJc w:val="left"/>
      <w:lvlText w:val="%1."/>
      <w:numFmt w:val="decimal"/>
      <w:start w:val="3"/>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1."/>
      <w:numFmt w:val="upperLetter"/>
      <w:start w:val="6"/>
    </w:lvl>
  </w:abstractNum>
  <w:abstractNum w:abstractNumId="99">
    <w:nsid w:val="E7FFA2B"/>
    <w:multiLevelType w:val="hybridMultilevel"/>
    <w:lvl w:ilvl="0">
      <w:lvlJc w:val="left"/>
      <w:lvlText w:val="%1."/>
      <w:numFmt w:val="upperLetter"/>
      <w:start w:val="9"/>
    </w:lvl>
  </w:abstractNum>
  <w:abstractNum w:abstractNumId="100">
    <w:nsid w:val="3C5991AA"/>
    <w:multiLevelType w:val="hybridMultilevel"/>
    <w:lvl w:ilvl="0">
      <w:lvlJc w:val="left"/>
      <w:lvlText w:val="%1."/>
      <w:numFmt w:val="upperLetter"/>
      <w:start w:val="1"/>
    </w:lvl>
  </w:abstractNum>
  <w:abstractNum w:abstractNumId="101">
    <w:nsid w:val="4BD8591A"/>
    <w:multiLevelType w:val="hybridMultilevel"/>
    <w:lvl w:ilvl="0">
      <w:lvlJc w:val="left"/>
      <w:lvlText w:val="%1."/>
      <w:numFmt w:val="upperLetter"/>
      <w:start w:val="2"/>
    </w:lvl>
  </w:abstractNum>
  <w:abstractNum w:abstractNumId="102">
    <w:nsid w:val="78DF6A55"/>
    <w:multiLevelType w:val="hybridMultilevel"/>
    <w:lvl w:ilvl="0">
      <w:lvlJc w:val="left"/>
      <w:lvlText w:val="%1."/>
      <w:numFmt w:val="upperLetter"/>
      <w:start w:val="4"/>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1)"/>
      <w:numFmt w:val="decimal"/>
      <w:start w:val="1"/>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
      <w:numFmt w:val="bullet"/>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1)"/>
      <w:numFmt w:val="lowerRoman"/>
      <w:start w:val="3"/>
    </w:lvl>
  </w:abstractNum>
  <w:abstractNum w:abstractNumId="113">
    <w:nsid w:val="3DD15094"/>
    <w:multiLevelType w:val="hybridMultilevel"/>
    <w:lvl w:ilvl="0">
      <w:lvlJc w:val="left"/>
      <w:lvlText w:val="(%1)"/>
      <w:numFmt w:val="lowerRoman"/>
      <w:start w:val="2"/>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
      <w:numFmt w:val="bullet"/>
      <w:start w:val="1"/>
    </w:lvl>
  </w:abstractNum>
  <w:abstractNum w:abstractNumId="117">
    <w:nsid w:val="175DFCF0"/>
    <w:multiLevelType w:val="hybridMultilevel"/>
    <w:lvl w:ilvl="0">
      <w:lvlJc w:val="left"/>
      <w:lvlText w:val="*"/>
      <w:numFmt w:val="bullet"/>
      <w:start w:val="1"/>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decimal"/>
      <w:start w:val="4"/>
    </w:lvl>
  </w:abstractNum>
  <w:abstractNum w:abstractNumId="120">
    <w:nsid w:val="34FD6B4F"/>
    <w:multiLevelType w:val="hybridMultilevel"/>
    <w:lvl w:ilvl="0">
      <w:lvlJc w:val="left"/>
      <w:lvlText w:val="(%1)"/>
      <w:numFmt w:val="decimal"/>
      <w:start w:val="1"/>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decimal"/>
      <w:start w:val="2"/>
    </w:lvl>
  </w:abstractNum>
  <w:abstractNum w:abstractNumId="123">
    <w:nsid w:val="519E3149"/>
    <w:multiLevelType w:val="hybridMultilevel"/>
    <w:lvl w:ilvl="0">
      <w:lvlJc w:val="left"/>
      <w:lvlText w:val="(%1)"/>
      <w:numFmt w:val="decimal"/>
      <w:start w:val="1"/>
    </w:lvl>
  </w:abstractNum>
  <w:abstractNum w:abstractNumId="124">
    <w:nsid w:val="2C6E4AFD"/>
    <w:multiLevelType w:val="hybridMultilevel"/>
    <w:lvl w:ilvl="0">
      <w:lvlJc w:val="left"/>
      <w:lvlText w:val="%1."/>
      <w:numFmt w:val="decimal"/>
      <w:start w:val="1"/>
    </w:lvl>
    <w:lvl w:ilvl="1">
      <w:lvlJc w:val="left"/>
      <w:lvlText w:val="(%2)"/>
      <w:numFmt w:val="lowerLetter"/>
      <w:start w:val="1"/>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6" Type="http://schemas.openxmlformats.org/officeDocument/2006/relationships/image" Target="media/image208.png"/><Relationship Id="rId240" Type="http://schemas.openxmlformats.org/officeDocument/2006/relationships/image" Target="media/image209.png"/><Relationship Id="rId254"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215" Type="http://schemas.openxmlformats.org/officeDocument/2006/relationships/hyperlink" Target="https://www.sec.gov/Archives/edgar/data/1595761/000110465924051442/wb-20231231xex1d1.htm" TargetMode="External"/><Relationship Id="rId216" Type="http://schemas.openxmlformats.org/officeDocument/2006/relationships/hyperlink" Target="https://www.sec.gov/Archives/edgar/data/1595761/000119312514358192/d797407dex43.htm" TargetMode="External"/><Relationship Id="rId217" Type="http://schemas.openxmlformats.org/officeDocument/2006/relationships/hyperlink" Target="https://www.sec.gov/Archives/edgar/data/1595761/000110465921145218/tm2132392d5_ex4-1.htm" TargetMode="External"/><Relationship Id="rId218" Type="http://schemas.openxmlformats.org/officeDocument/2006/relationships/hyperlink" Target="https://www.sec.gov/Archives/edgar/data/1595761/000110465921053395/wb-20201231xex2d3.htm" TargetMode="External"/><Relationship Id="rId219" Type="http://schemas.openxmlformats.org/officeDocument/2006/relationships/hyperlink" Target="https://www.sec.gov/Archives/edgar/data/1595761/000110465919039425/a19-12505_1ex4d1.htm" TargetMode="External"/><Relationship Id="rId220" Type="http://schemas.openxmlformats.org/officeDocument/2006/relationships/hyperlink" Target="https://www.sec.gov/Archives/edgar/data/1595761/000110465919039425/a19-12505_1ex4d2.htm" TargetMode="External"/><Relationship Id="rId221" Type="http://schemas.openxmlformats.org/officeDocument/2006/relationships/hyperlink" Target="https://www.sec.gov/Archives/edgar/data/1595761/000110465920081985/a20-21073_5ex4d1.htm" TargetMode="External"/><Relationship Id="rId222" Type="http://schemas.openxmlformats.org/officeDocument/2006/relationships/hyperlink" Target="https://www.sec.gov/Archives/edgar/data/1595761/000110465924051442/wb-20231231xex2d7.htm" TargetMode="External"/><Relationship Id="rId223" Type="http://schemas.openxmlformats.org/officeDocument/2006/relationships/hyperlink" Target="https://www.sec.gov/Archives/edgar/data/1595761/000110465924051442/wb-20231231xex2d8.htm" TargetMode="External"/><Relationship Id="rId224" Type="http://schemas.openxmlformats.org/officeDocument/2006/relationships/hyperlink" Target="https://www.sec.gov/Archives/edgar/data/1595761/000119312514124183/d652805dex102.htm" TargetMode="External"/><Relationship Id="rId225" Type="http://schemas.openxmlformats.org/officeDocument/2006/relationships/hyperlink" Target="https://www.sec.gov/Archives/edgar/data/1595761/000110465923050582/wb-20221231xex4d3.htm" TargetMode="External"/><Relationship Id="rId227" Type="http://schemas.openxmlformats.org/officeDocument/2006/relationships/hyperlink" Target="https://www.sec.gov/Archives/edgar/data/1595761/000119312514100237/d652805dex103.htm" TargetMode="External"/><Relationship Id="rId228" Type="http://schemas.openxmlformats.org/officeDocument/2006/relationships/hyperlink" Target="https://www.sec.gov/Archives/edgar/data/1595761/000119312514124183/d652805dex104.htm" TargetMode="External"/><Relationship Id="rId229" Type="http://schemas.openxmlformats.org/officeDocument/2006/relationships/hyperlink" Target="https://www.sec.gov/Archives/edgar/data/1595761/000119312514100237/d652805dex105.htm" TargetMode="External"/><Relationship Id="rId230" Type="http://schemas.openxmlformats.org/officeDocument/2006/relationships/hyperlink" Target="https://www.sec.gov/Archives/edgar/data/1595761/000119312514100237/d652805dex107.htm" TargetMode="External"/><Relationship Id="rId231" Type="http://schemas.openxmlformats.org/officeDocument/2006/relationships/hyperlink" Target="https://www.sec.gov/Archives/edgar/data/1595761/000119312514100237/d652805dex108.htm" TargetMode="External"/><Relationship Id="rId232" Type="http://schemas.openxmlformats.org/officeDocument/2006/relationships/hyperlink" Target="https://www.sec.gov/Archives/edgar/data/1595761/000119312514100237/d652805dex109.htm" TargetMode="External"/><Relationship Id="rId233" Type="http://schemas.openxmlformats.org/officeDocument/2006/relationships/hyperlink" Target="https://www.sec.gov/Archives/edgar/data/1595761/000119312514124183/d652805dex1011.htm" TargetMode="External"/><Relationship Id="rId234" Type="http://schemas.openxmlformats.org/officeDocument/2006/relationships/hyperlink" Target="https://www.sec.gov/Archives/edgar/data/1595761/000110465915030982/a15-2240_1ex4d12.htm" TargetMode="External"/><Relationship Id="rId235" Type="http://schemas.openxmlformats.org/officeDocument/2006/relationships/hyperlink" Target="https://www.sec.gov/Archives/edgar/data/1595761/000119312514100237/d652805dex1013.htm" TargetMode="External"/><Relationship Id="rId236" Type="http://schemas.openxmlformats.org/officeDocument/2006/relationships/hyperlink" Target="https://www.sec.gov/Archives/edgar/data/1595761/000110465918026820/a17-27940_1ex4d14.htm" TargetMode="External"/><Relationship Id="rId237" Type="http://schemas.openxmlformats.org/officeDocument/2006/relationships/hyperlink" Target="https://www.sec.gov/Archives/edgar/data/1595761/000110465918026820/a17-27940_1ex4d15.htm" TargetMode="External"/><Relationship Id="rId238" Type="http://schemas.openxmlformats.org/officeDocument/2006/relationships/hyperlink" Target="https://www.sec.gov/Archives/edgar/data/1595761/000110465918026820/a17-27940_1ex4d16.htm" TargetMode="External"/><Relationship Id="rId239" Type="http://schemas.openxmlformats.org/officeDocument/2006/relationships/hyperlink" Target="https://www.sec.gov/Archives/edgar/data/1595761/000110465918026820/a17-27940_1ex4d17.htm" TargetMode="External"/><Relationship Id="rId241" Type="http://schemas.openxmlformats.org/officeDocument/2006/relationships/hyperlink" Target="https://www.sec.gov/Archives/edgar/data/1595761/000110465918026820/a17-27940_1ex4d18.htm#Exhibit10_18Exhibit4_18_040254" TargetMode="External"/><Relationship Id="rId242" Type="http://schemas.openxmlformats.org/officeDocument/2006/relationships/hyperlink" Target="https://www.sec.gov/Archives/edgar/data/1595761/000119312514100237/d652805dex1019.htm" TargetMode="External"/><Relationship Id="rId243" Type="http://schemas.openxmlformats.org/officeDocument/2006/relationships/hyperlink" Target="https://www.sec.gov/Archives/edgar/data/1595761/000119312514100237/d652805dex1020.htm" TargetMode="External"/><Relationship Id="rId244" Type="http://schemas.openxmlformats.org/officeDocument/2006/relationships/hyperlink" Target="https://www.sec.gov/Archives/edgar/data/1595761/000119312514100237/d652805dex1021.htm" TargetMode="External"/><Relationship Id="rId245" Type="http://schemas.openxmlformats.org/officeDocument/2006/relationships/hyperlink" Target="https://www.sec.gov/Archives/edgar/data/1595761/000110465921053395/wb-20201231xex4d22.htm" TargetMode="External"/><Relationship Id="rId246" Type="http://schemas.openxmlformats.org/officeDocument/2006/relationships/hyperlink" Target="https://www.sec.gov/Archives/edgar/data/1595761/000110465921053395/wb-20201231xex4d23.htm" TargetMode="External"/><Relationship Id="rId247" Type="http://schemas.openxmlformats.org/officeDocument/2006/relationships/hyperlink" Target="https://www.sec.gov/Archives/edgar/data/1595761/000110465921053395/wb-20201231xex4d24.htm" TargetMode="External"/><Relationship Id="rId248" Type="http://schemas.openxmlformats.org/officeDocument/2006/relationships/hyperlink" Target="https://www.sec.gov/Archives/edgar/data/1595761/000110465921053395/wb-20201231xex4d25.htm" TargetMode="External"/><Relationship Id="rId249" Type="http://schemas.openxmlformats.org/officeDocument/2006/relationships/hyperlink" Target="https://www.sec.gov/Archives/edgar/data/1595761/000110465921053395/wb-20201231xex4d26.htm" TargetMode="External"/><Relationship Id="rId250" Type="http://schemas.openxmlformats.org/officeDocument/2006/relationships/hyperlink" Target="https://www.sec.gov/Archives/edgar/data/1595761/000110465921053395/wb-20201231xex4d27.htm" TargetMode="External"/><Relationship Id="rId251" Type="http://schemas.openxmlformats.org/officeDocument/2006/relationships/hyperlink" Target="https://www.sec.gov/Archives/edgar/data/1595761/000110465921053395/wb-20201231xex4d28.htm" TargetMode="External"/><Relationship Id="rId252" Type="http://schemas.openxmlformats.org/officeDocument/2006/relationships/hyperlink" Target="https://www.sec.gov/Archives/edgar/data/1595761/000110465921053395/wb-20201231xex4d29.htm" TargetMode="External"/><Relationship Id="rId253" Type="http://schemas.openxmlformats.org/officeDocument/2006/relationships/hyperlink" Target="https://www.sec.gov/Archives/edgar/data/1595761/000110465921053395/wb-20201231xex4d30.htm" TargetMode="External"/><Relationship Id="rId255" Type="http://schemas.openxmlformats.org/officeDocument/2006/relationships/hyperlink" Target="https://www.sec.gov/Archives/edgar/data/1595761/000110465921053395/wb-20201231xex4d31.htm" TargetMode="External"/><Relationship Id="rId256" Type="http://schemas.openxmlformats.org/officeDocument/2006/relationships/hyperlink" Target="https://www.sec.gov/Archives/edgar/data/1595761/000110465923050582/wb-20221231xex4d33.htm" TargetMode="External"/><Relationship Id="rId257" Type="http://schemas.openxmlformats.org/officeDocument/2006/relationships/hyperlink" Target="https://www.sec.gov/Archives/edgar/data/1595761/000110465924051442/wb-20231231xex4d33.htm" TargetMode="External"/><Relationship Id="rId258" Type="http://schemas.openxmlformats.org/officeDocument/2006/relationships/hyperlink" Target="https://www.sec.gov/Archives/edgar/data/1595761/000141057825000730/wb-20241231xex8d1.htm" TargetMode="External"/><Relationship Id="rId259" Type="http://schemas.openxmlformats.org/officeDocument/2006/relationships/hyperlink" Target="https://www.sec.gov/Archives/edgar/data/1595761/000119312514100237/d652805dex991.htm" TargetMode="External"/><Relationship Id="rId260" Type="http://schemas.openxmlformats.org/officeDocument/2006/relationships/hyperlink" Target="https://www.sec.gov/Archives/edgar/data/1595761/000141057825000730/wb-20241231xex11d2.htm" TargetMode="External"/><Relationship Id="rId261" Type="http://schemas.openxmlformats.org/officeDocument/2006/relationships/hyperlink" Target="https://www.sec.gov/Archives/edgar/data/1595761/000110465924051442/w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2026-04-23T06:08:57Z</dcterms:created>
  <dcterms:modified xsi:type="dcterms:W3CDTF">2026-04-23T06:08:57Z</dcterms:modified>
</cp:coreProperties>
</file>