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262d1_6k.htm"/>
      <w:bookmarkStart w:id="1" w:name="kstm2623262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001-36397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Weibo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8/F, QIHAO Plaza, No. 8 Xinyuan S.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Chaoyang District, Beijing 100027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3262d1_ex99-1.htm">
        <w:r>
          <w:rPr>
            <w:rStyle w:val="InternetLink"/>
            <w:rFonts w:ascii="Times New Roman;Times;Serif" w:hAnsi="Times New Roman;Times;Serif"/>
            <w:b w:val="false"/>
            <w:i w:val="false"/>
            <w:caps w:val="false"/>
            <w:smallCaps w:val="false"/>
            <w:sz w:val="20"/>
          </w:rPr>
          <w:t>Exhibit 99.1 – Press Release regarding Financial Results for the Second Quarter Ended June 30, 2026 issued by Weibo Corporation on August 19,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89" w:type="dxa"/>
        <w:jc w:val="left"/>
        <w:tblInd w:w="0" w:type="dxa"/>
        <w:tblLayout w:type="fixed"/>
        <w:tblCellMar>
          <w:top w:w="0" w:type="dxa"/>
          <w:left w:w="0" w:type="dxa"/>
          <w:bottom w:w="0" w:type="dxa"/>
          <w:right w:w="0" w:type="dxa"/>
        </w:tblCellMar>
      </w:tblPr>
      <w:tblGrid>
        <w:gridCol w:w="1865"/>
        <w:gridCol w:w="321"/>
        <w:gridCol w:w="1903"/>
      </w:tblGrid>
      <w:tr>
        <w:trPr/>
        <w:tc>
          <w:tcPr>
            <w:tcW w:w="186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WEIBO CORPORATION</w:t>
            </w:r>
          </w:p>
        </w:tc>
      </w:tr>
      <w:tr>
        <w:trPr/>
        <w:tc>
          <w:tcPr>
            <w:tcW w:w="186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Fei Cao</w:t>
            </w:r>
          </w:p>
        </w:tc>
      </w:tr>
      <w:tr>
        <w:trPr/>
        <w:tc>
          <w:tcPr>
            <w:tcW w:w="186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 Cao</w:t>
            </w:r>
          </w:p>
        </w:tc>
      </w:tr>
      <w:tr>
        <w:trPr/>
        <w:tc>
          <w:tcPr>
            <w:tcW w:w="186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2" w:name="tm2623262d1_ex99-1.htm"/>
      <w:bookmarkStart w:id="3" w:name="kstm2623262d1_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Announces Second 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 – August 19, 2026 – Weibo Corporation (“Weibo” or the “Company”) (Nasdaq: WB and HKEX: 9898), a leading social media in China,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delivered a solid quarter,” said Gaofei Wang, CEO of Weibo. “On the user front, with our continued efforts to improve user quality and drive user retention through information feed revamp, we saw solid engagement among our core users and increased consumption in the information feeds. Video consumption continued to improve, supported by better content distribution within our revamped feed and increased supply of high quality contents. On the monetization front, we focused on bringing Weibo’s unique value on content marketing to more advertisers and enhancing advertising performance through AI integration. We saw solid performance of certain pillar industries and good momentum of celebrity marketing. On the AI front, we made solid progress in the integration of AI to enhance our product, content and monetization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Net revenues were US$453.8 million, an increase of 2% year-over-year or a decrease of 4% year-over-year on a constant currency basis </w:t>
            </w:r>
            <w:r>
              <w:rPr>
                <w:rFonts w:ascii="Times New Roman;Times;Serif" w:hAnsi="Times New Roman;Times;Serif"/>
                <w:position w:val="8"/>
                <w:sz w:val="19"/>
              </w:rPr>
              <w:t>[1]</w:t>
            </w:r>
            <w:r>
              <w:rPr>
                <w:rFonts w:ascii="Times New Roman;Times;Serif" w:hAnsi="Times New Roman;Times;Serif"/>
              </w:rPr>
              <w: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Advertising and marketing revenues were US$381.0 million, a decrease of 1% year-over-year or a decrease of 6% year-over-year on a constant currency basis </w:t>
            </w:r>
            <w:r>
              <w:rPr>
                <w:rFonts w:ascii="Times New Roman;Times;Serif" w:hAnsi="Times New Roman;Times;Serif"/>
                <w:position w:val="8"/>
                <w:sz w:val="19"/>
              </w:rPr>
              <w:t>[1]</w:t>
            </w:r>
            <w:r>
              <w:rPr>
                <w:rFonts w:ascii="Times New Roman;Times;Serif" w:hAnsi="Times New Roman;Times;Serif"/>
              </w:rPr>
              <w: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Value-added services ("VAS") revenues were US$72.9 million, an increase of 19% year-over-year or an increase of 12% year-over-year on a constant currency basis </w:t>
            </w:r>
            <w:r>
              <w:rPr>
                <w:rFonts w:ascii="Times New Roman;Times;Serif" w:hAnsi="Times New Roman;Times;Serif"/>
                <w:position w:val="8"/>
                <w:sz w:val="19"/>
              </w:rPr>
              <w:t>[1]</w:t>
            </w:r>
            <w:r>
              <w:rPr>
                <w:rFonts w:ascii="Times New Roman;Times;Serif" w:hAnsi="Times New Roman;Times;Serif"/>
              </w:rPr>
              <w:t>.</w:t>
            </w:r>
          </w:p>
        </w:tc>
      </w:tr>
    </w:tbl>
    <w:tbl>
      <w:tblPr>
        <w:tblW w:w="8658" w:type="dxa"/>
        <w:jc w:val="left"/>
        <w:tblInd w:w="0" w:type="dxa"/>
        <w:tblLayout w:type="fixed"/>
        <w:tblCellMar>
          <w:top w:w="0" w:type="dxa"/>
          <w:left w:w="0" w:type="dxa"/>
          <w:bottom w:w="0" w:type="dxa"/>
          <w:right w:w="0" w:type="dxa"/>
        </w:tblCellMar>
      </w:tblPr>
      <w:tblGrid>
        <w:gridCol w:w="38"/>
        <w:gridCol w:w="11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operations was US$118.9 million, representing an operating margin of 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attributable to Weibo’s shareholders was US$67.4 million and diluted net income per share was US$0.26.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income from operations was US$125.4 million, representing a non-GAAP operating margin of 28%.</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net income attributable to Weibo’s shareholders was US$102.7 million and non-GAAP diluted net income per share was US$0.38.</w:t>
            </w:r>
          </w:p>
        </w:tc>
      </w:tr>
    </w:tbl>
    <w:tbl>
      <w:tblPr>
        <w:tblW w:w="6228" w:type="dxa"/>
        <w:jc w:val="left"/>
        <w:tblInd w:w="0" w:type="dxa"/>
        <w:tblLayout w:type="fixed"/>
        <w:tblCellMar>
          <w:top w:w="0" w:type="dxa"/>
          <w:left w:w="0" w:type="dxa"/>
          <w:bottom w:w="0" w:type="dxa"/>
          <w:right w:w="0" w:type="dxa"/>
        </w:tblCellMar>
      </w:tblPr>
      <w:tblGrid>
        <w:gridCol w:w="38"/>
        <w:gridCol w:w="11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Monthly active users ("MAUs") were 561 million in June 2026.</w:t>
            </w:r>
          </w:p>
        </w:tc>
      </w:tr>
    </w:tbl>
    <w:tbl>
      <w:tblPr>
        <w:tblW w:w="6723" w:type="dxa"/>
        <w:jc w:val="left"/>
        <w:tblInd w:w="0" w:type="dxa"/>
        <w:tblLayout w:type="fixed"/>
        <w:tblCellMar>
          <w:top w:w="0" w:type="dxa"/>
          <w:left w:w="0" w:type="dxa"/>
          <w:bottom w:w="0" w:type="dxa"/>
          <w:right w:w="0" w:type="dxa"/>
        </w:tblCellMar>
      </w:tblPr>
      <w:tblGrid>
        <w:gridCol w:w="38"/>
        <w:gridCol w:w="11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daily active users ("DAUs") were 254 million in June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We define constant currency (non-GAAP) by assuming that the average exchange rate in the second quarter of 2026 was the same as it was in the second quarter of 2025, or RMB7.23=US$1.00.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Weibo’s total net revenues were US$453.8 million, an increase of 2% compared to US$444.8 million for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revenues for the second quarter of 2026 were US$381.0 million, a decrease of 1% compared to US$383.4 million for the same period last year. Advertising and marketing revenues excluding advertising revenues from Alibaba were US$341.8 million, a decrease of 2% compared to US$347.6 million for the same period last year. The decrease was primarily due to the descending trend of advertising demands from handset and online game sectors year-over-year, and was partially offset by increase of advertising revenues from internet service and automobile sectors as well as favorable foreign exchange impact on the reported numbers from the overall appreciation of RMB against the U.S. dollar (“foreign exchange impact”) on a year-over-year basis. Advertising and marketing revenues from Alibaba were US$39.2 million, an increase of 10% compared to US$35.7 million for the same period last year. The increase was primarily attributable to the favorable foreign exchange impact on the reported numbers on a year-over-year basis and a modest increase in advertising demands from Alibaba mainly due to its AI application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 revenues for the second quarter of 2026 were US$72.9 million, an increase of 19% compared to US$61.4 million for the same period last year, primarily attributable to additional revenues of one-off ticket proceeds from off-line activities held by Weibo, and solid growth from membership service as well as favorable foreign exchange impact on the reported numbers on a year-over-year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 for the second quarter of 2026 totaled US$335.0 million, an increase of 12% compared to US$299.2 million for the same period last year, mainly due to the increases in ad production costs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for the second quarter of 2026 was US$118.9 million, compared to US$145.6 million for the same period last year. Operating margin was 26%, compared to 33% last year. Non-GAAP income from operations was US$125.4 million, compared to US$161.8 million for the same period last year. Non-GAAP operating margin was 28%, compared to 36%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loss for the second quarter of 2026 was US$27.8 million, compared to non-operating income of US$12.8 million for the same period last year. Non-operating loss for the second quarter of 2026 mainly included (i) loss from fair value change of investments of US$22.8 million, which was excluded under non-GAAP measures; and (ii) net interest and other loss of US$5.1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for the second quarter of 2026 were US$23.0 million, compared to US$31.7 million for the same period last year. The decrease in tax expenses was mainly due to lower income before tax in the second quarter of 2026 compared to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Weibo’s shareholders for the second quarter of 2026 was US$67.4 million, compared to US$125.7 million for the same period last year. Diluted net income per share attributable to Weibo’s shareholders for the second quarter of 2026 was US$0.26, compared to US$0.48 for the same period last year. Non-GAAP net income attributable to Weibo’s shareholders for the second quarter of 2026 was US$102.7 million, compared to US$143.2 million for the same period last year. Non-GAAP diluted net income per share attributable to Weibo’s shareholders for the second quarter of 2026 was US$0.38, compared to US$0.54 for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Weibo’s cash, cash equivalents and short-term investments totaled US$2.64 billion. For the second quarter of 2026, cash provided by operating activities was US$50.5 million, capital expenditures totaled US$3.1 million, and depreciation and amortization expenses amounted to US$15.7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Weibo's management team will host a conference call from 7:00 AM to 8:00 AM Eastern Time on August 19, 2026 (or 7:00 PM to 8:00 PM Hong Kong Time on August 19, 2026) to present an overview of the Company's financial performance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who wish to dial in to the teleconference must register through the below public participant link. Dial-in and instructions will be provided in the confirmation email upon registering.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Registration Link:</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https://register-conf.media-server.com/register/BI4542e6edec00491e9198327b87da5adb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this conference call will be available at </w:t>
      </w:r>
      <w:r>
        <w:rPr>
          <w:rFonts w:ascii="Times New Roman;Times;Serif" w:hAnsi="Times New Roman;Times;Serif"/>
          <w:b w:val="false"/>
          <w:i w:val="false"/>
          <w:caps w:val="false"/>
          <w:smallCaps w:val="false"/>
          <w:sz w:val="20"/>
          <w:u w:val="single"/>
        </w:rPr>
        <w:t>http://ir.weibo.com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the following non-GAAP financial measures: non-GAAP income from operations, non-GAAP net income attributable to Weibo’s shareholders, non-GAAP diluted net income per share attributable to Weibo’s shareholders and adjusted EBITDA. These non-GAAP financial measures should be considered in addition to, not as a substitute for, measures of the Company’s financial performance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financial measures exclude stock-based compensation, amortization of intangible assets resulting from business acquisitions, net results of impairment and provision on investments, gain/loss on sale of investments and fair value change of investments, non-GAAP to GAAP reconciling items on the share of equity method investments, non-GAAP to GAAP reconciling items for the income/loss attributable to non-controlling interests, income tax effects related to the amortization of intangible assets resulting from business acquisitions and fair value change of investments (other non-GAAP to GAAP reconciling items have no tax effect), and amortization of issuance cost of convertible senior notes, unsecured senior notes and long-term loans. Adjusted EBITDA represents non-GAAP net income attributable to Weibo’s shareholders before interest income/expense, net, income tax expenses/benefits, and depreciation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uses these non-GAAP financial measures in their financial and operating decision-making, because management believes these measures reflect the Company’s ongoing operating performance in a manner that allows more meaningful period-to-period comparisons. The Company believes that these non-GAAP financial measures provide useful information to investors and others in the following ways: (i) in comparing the Company’s current financial results with the Company’s past financial results in a consistent manner, and (ii) in understanding and evaluating the Company’s current operating performance and future prospects in the same manner as management does. The Company also believes that the non-GAAP financial measures provide useful information to both management and investors by excluding certain expenses, gains/losses and other items (i) that are not expected to result in future cash payments or (ii) that are non-recurring in nature or may not be indicative of the Company’s core operating results and 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non-GAAP financial measures has limitations. The Company’s non-GAAP financial measures do not include all income and expense items that affect the Company’s operations. They may not be comparable to non-GAAP financial measures used by other companies. Accordingly, care should be exercised in understanding how the Company defines its non-GAAP financial measures. Reconciliations of the Company’s non-GAAP financial measures to the nearest comparable GAAP measures are set forth in the section below titled “Unaudited Reconciliation of Non-GAAP to 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Weibo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is a leading social media for people to create, share and discover content online. 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This simple, asymmetric and distributed nature of Weibo allows an original feed to become a live viral conversation 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enables its advertising and marketing customers to promote their brands, products and services to users. Weibo offers a wide range of advertising and marketing solutions to companies of all sizes. Weibo generates a substantial majority of its revenues from the sale of advertising and marketing services, including the sale of social display advertisement and promoted marketing offerings. Weibo displays content in a simple information feed format and offers native advertisement that conforms to the information feed on our platform. We are continuously refining our social interest graph recommendation engine, which enables our customers to perform people marketing and target audiences based on user demographics, social relationships, interests and behaviors, to achieve greater relevance, engagement and marketing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“confidence,” “estimates” and similar statements. Among other things, Weibo’s expected financial performance and strategic and operational plans, as described, without limitation, in quotations from management in this press release, contain forward-looking statements. Weibo may also make written or oral forward-looking statements in the Company’s periodic reports to the U.S. Securities and Exchange Commission (“SEC”),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important factors could cause actual results to differ materially from those contained in any forward-looking statement. Potential risks and uncertainties include, but are not limited to, Weibo’s limited operating history in certain new businesses; failure to sustain or grow active user base and the level of user engagement; the uncertain regulatory landscape in China; fluctuations in the Company’s quarterly operating results; the Company’s reliance on advertising and marketing sales for a majority of its revenues; failure to successfully develop, introduce, drive adoption of or monetize new features and products; failure to compete effectively for advertising and marketing spending; failure to successfully integrate acquired businesses; risks associated with the Company’s investments, including equity pick-up and impairment; failure to compete successfully against new entrants and established industry competitors; changes in the macro-economic environment, including the depreciation of the Renminbi; and adverse changes in economic and political policies of the PRC government and its impact on the Chinese economy. Further information regarding these and other risks is included in Weibo’s annual reports on Form 20-F and other filings with the SEC and the Hong Kong Stock Exchange. All information provided in this press release is current as of the date hereof, and Weibo assumes no obligation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ir@staff.weibo.com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and in thousands for shares,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4"/>
        <w:gridCol w:w="60"/>
        <w:gridCol w:w="125"/>
        <w:gridCol w:w="695"/>
        <w:gridCol w:w="80"/>
        <w:gridCol w:w="60"/>
        <w:gridCol w:w="125"/>
        <w:gridCol w:w="695"/>
        <w:gridCol w:w="80"/>
        <w:gridCol w:w="60"/>
        <w:gridCol w:w="125"/>
        <w:gridCol w:w="695"/>
        <w:gridCol w:w="60"/>
        <w:gridCol w:w="60"/>
        <w:gridCol w:w="125"/>
        <w:gridCol w:w="695"/>
        <w:gridCol w:w="91"/>
      </w:tblGrid>
      <w:tr>
        <w:trPr/>
        <w:tc>
          <w:tcPr>
            <w:tcW w:w="637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Advertising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380,974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722,458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750,729</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119,195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124,422</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444,798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453,826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875,151</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192,253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247,547</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Sales and marketing </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109,747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205,557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231,049</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Product development </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78,068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154,089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148,922</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and administrative </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17,853</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585,773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645,371</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118,859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255,880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229,780</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Non-operating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related income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(22,755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(57,786</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and other income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(29,972</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(27,843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(87,758</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290,816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142,022</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55,996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38,630</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234,820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103,392</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815</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to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Weibo’s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125,685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232,649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102,092</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net income per share attributable to Weibo’s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0.43</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net income per share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0.39</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used in computing basic net income per share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239,462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238,459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239,414</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used in computing diluted net income per share attributable to Weibo’s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268,346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270,841</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Stock-based compensation in each category: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2,167</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left"/>
        <w:rPr>
          <w:caps w:val="false"/>
          <w:smallCaps w:val="false"/>
        </w:rPr>
      </w:pPr>
      <w:r>
        <w:rPr>
          <w:caps w:val="false"/>
          <w:smallCaps w:val="false"/>
        </w:rPr>
        <w:t> </w:t>
      </w:r>
    </w:p>
    <w:tbl>
      <w:tblPr>
        <w:tblW w:w="9064" w:type="dxa"/>
        <w:jc w:val="left"/>
        <w:tblInd w:w="0" w:type="dxa"/>
        <w:tblLayout w:type="fixed"/>
        <w:tblCellMar>
          <w:top w:w="0" w:type="dxa"/>
          <w:left w:w="0" w:type="dxa"/>
          <w:bottom w:w="0" w:type="dxa"/>
          <w:right w:w="0" w:type="dxa"/>
        </w:tblCellMar>
      </w:tblPr>
      <w:tblGrid>
        <w:gridCol w:w="6665"/>
        <w:gridCol w:w="60"/>
        <w:gridCol w:w="150"/>
        <w:gridCol w:w="1024"/>
        <w:gridCol w:w="60"/>
        <w:gridCol w:w="60"/>
        <w:gridCol w:w="125"/>
        <w:gridCol w:w="845"/>
        <w:gridCol w:w="75"/>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2,298,941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1,639,148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997,443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400,209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337,565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330,356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338,480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due from SINA</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441,143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440,269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 subtotal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3,576,788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3,755,318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282,442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278,021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 and 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265,573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264,019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1,663,346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1,602,826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1,303,037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1,245,549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7,091,186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7,145,733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Non-controlling Interests and Shareholders’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248,977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257,954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648,492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629,964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58,565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100,160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 subtotal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1,055,833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1,046,643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senior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323,944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325,515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senior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745,630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746,114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793,976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795,808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164,240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166,215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3,083,623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3,080,295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17,791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3,920,729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3,991,172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56,475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3,974,735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4,047,647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non-controlling interests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7,091,186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7,145,733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Included short-term loans to and interest receivable from SINA of US$401.9 million as of December 31, 2025 and US$397.0 million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NON-GAAP TO GAAP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and in thousands for shares,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30"/>
        <w:gridCol w:w="60"/>
        <w:gridCol w:w="125"/>
        <w:gridCol w:w="695"/>
        <w:gridCol w:w="185"/>
        <w:gridCol w:w="60"/>
        <w:gridCol w:w="125"/>
        <w:gridCol w:w="695"/>
        <w:gridCol w:w="185"/>
        <w:gridCol w:w="60"/>
        <w:gridCol w:w="125"/>
        <w:gridCol w:w="695"/>
        <w:gridCol w:w="185"/>
        <w:gridCol w:w="60"/>
        <w:gridCol w:w="125"/>
        <w:gridCol w:w="695"/>
        <w:gridCol w:w="200"/>
      </w:tblGrid>
      <w:tr>
        <w:trPr/>
        <w:tc>
          <w:tcPr>
            <w:tcW w:w="59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145,570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118,859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255,880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229,780</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27,066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6,647</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resulting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8,755</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161,750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125,380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291,229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245,182</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125,685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232,649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102,092</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6,647</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resulting from business acquisitions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8,755</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 related gain/loss, net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57,786</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to GAAP reconciling items on the share of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24,265</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to GAAP reconciling items for the income/loss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effects on non-GAAP adjustments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(7,787</w:t>
            </w:r>
          </w:p>
        </w:tc>
        <w:tc>
          <w:tcPr>
            <w:tcW w:w="2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issuance cost of convertible senior notes, unsecured senior notes and long-term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3,886</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143,215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262,747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194,590</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diluted net income per share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0.54</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0.38</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0.99</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0.73</w:t>
            </w:r>
          </w:p>
        </w:tc>
        <w:tc>
          <w:tcPr>
            <w:tcW w:w="200"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computing GAAP diluted net income per share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268,346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267,429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270,841</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used in computing non-GAAP diluted net income per share attributable to Weibo’s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268,346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271,550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267,429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270,841</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125,685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232,649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102,092</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35,285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30,098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92,498</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Weibo’s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262,747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194,590</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(3,002</w:t>
            </w:r>
          </w:p>
        </w:tc>
        <w:tc>
          <w:tcPr>
            <w:tcW w:w="2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46,417</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21,914</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175,670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133,166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315,390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259,919</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444,798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453,826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841,653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875,151</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left"/>
              <w:rPr/>
            </w:pPr>
            <w:r>
              <w:rPr/>
              <w:t>To adjust impairment and provision on investments, gain/loss on sale of investments and fair value change of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left"/>
              <w:rPr/>
            </w:pPr>
            <w:r>
              <w:rPr/>
              <w:t>To adjust the income tax effects of non-GAAP adjustments, which primarily related to amortization of intangible assets resulting from business acquisitions and fair value change of investments. Other non-GAAP adjustment items have no tax effect, because (i) they were recorded in entities established in tax free jurisdictions, or (ii) full valuation allowances were provided for related deferred tax assets as it is more-likely-than-not they will not be realized.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w:t>
            </w:r>
          </w:p>
        </w:tc>
        <w:tc>
          <w:tcPr>
            <w:tcW w:w="10027" w:type="dxa"/>
            <w:tcBorders/>
            <w:vAlign w:val="center"/>
          </w:tcPr>
          <w:p>
            <w:pPr>
              <w:pStyle w:val="TableContents"/>
              <w:bidi w:val="0"/>
              <w:spacing w:before="0" w:after="283"/>
              <w:jc w:val="left"/>
              <w:rPr/>
            </w:pPr>
            <w:r>
              <w:rPr/>
              <w:t>Net income attributable to Weibo’s shareholders is adjusted for interest expense of convertible senior notes for calculating diluted EPS.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ADDITIONAL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2315"/>
        <w:gridCol w:w="60"/>
        <w:gridCol w:w="125"/>
        <w:gridCol w:w="695"/>
        <w:gridCol w:w="60"/>
        <w:gridCol w:w="60"/>
        <w:gridCol w:w="125"/>
        <w:gridCol w:w="695"/>
        <w:gridCol w:w="60"/>
        <w:gridCol w:w="60"/>
        <w:gridCol w:w="125"/>
        <w:gridCol w:w="695"/>
        <w:gridCol w:w="60"/>
        <w:gridCol w:w="60"/>
        <w:gridCol w:w="125"/>
        <w:gridCol w:w="695"/>
        <w:gridCol w:w="75"/>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Advertising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Non-Ali advertisers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644,104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668,318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Alibaba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78,354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82,411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383,352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722,458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750,729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119,195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124,422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444,798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875,151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3319</Words>
  <Characters>19244</Characters>
  <CharactersWithSpaces>23351</CharactersWithSpaces>
  <Paragraphs>1991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